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E159A" w14:textId="68E55260" w:rsidR="007D784A" w:rsidRPr="00497535" w:rsidRDefault="008D5AC9" w:rsidP="001D2E89">
      <w:pPr>
        <w:ind w:left="-450"/>
        <w:jc w:val="both"/>
        <w:rPr>
          <w:i/>
        </w:rPr>
      </w:pPr>
      <w:bookmarkStart w:id="0" w:name="_Hlk33799163"/>
      <w:bookmarkEnd w:id="0"/>
      <w:r w:rsidRPr="00497535">
        <w:rPr>
          <w:i/>
        </w:rPr>
        <w:t>Please note:  This list is not inclusive of all items that may require inspection.  Failure to be ready for a requested inspection may result in a re-inspection fee. In a Special Flood Hazard Area, all provisions of the municipal code and Flood-Resistant construction must be followed.</w:t>
      </w:r>
    </w:p>
    <w:p w14:paraId="5D54E11D" w14:textId="77777777" w:rsidR="006E4369" w:rsidRPr="000A44FA" w:rsidRDefault="006E4369" w:rsidP="001D2E89">
      <w:pPr>
        <w:pStyle w:val="Default"/>
        <w:spacing w:after="301"/>
        <w:ind w:left="-360"/>
        <w:rPr>
          <w:color w:val="1E477A"/>
          <w:sz w:val="56"/>
          <w:szCs w:val="56"/>
        </w:rPr>
      </w:pPr>
      <w:r w:rsidRPr="000A44FA">
        <w:rPr>
          <w:b/>
          <w:bCs/>
          <w:color w:val="1E477A"/>
          <w:sz w:val="56"/>
          <w:szCs w:val="56"/>
        </w:rPr>
        <w:t xml:space="preserve">DECKS </w:t>
      </w:r>
    </w:p>
    <w:p w14:paraId="1C4CED81" w14:textId="77777777" w:rsidR="006E4369" w:rsidRPr="000A44FA" w:rsidRDefault="006E4369" w:rsidP="001D2E89">
      <w:pPr>
        <w:pStyle w:val="CM7"/>
        <w:spacing w:after="217"/>
        <w:ind w:left="-360"/>
        <w:rPr>
          <w:rFonts w:ascii="Calibri" w:hAnsi="Calibri" w:cs="Calibri"/>
          <w:color w:val="000000"/>
          <w:sz w:val="36"/>
          <w:szCs w:val="36"/>
        </w:rPr>
      </w:pPr>
      <w:r w:rsidRPr="000A44FA">
        <w:rPr>
          <w:rFonts w:ascii="Calibri" w:hAnsi="Calibri" w:cs="Calibri"/>
          <w:b/>
          <w:bCs/>
          <w:i/>
          <w:iCs/>
          <w:color w:val="000000"/>
          <w:sz w:val="36"/>
          <w:szCs w:val="36"/>
          <w:u w:val="single"/>
        </w:rPr>
        <w:t xml:space="preserve">GENERAL </w:t>
      </w:r>
    </w:p>
    <w:p w14:paraId="4E402AC8" w14:textId="77777777" w:rsidR="006E4369" w:rsidRPr="0019066F" w:rsidRDefault="006E4369" w:rsidP="000A44FA">
      <w:pPr>
        <w:pStyle w:val="Default"/>
        <w:numPr>
          <w:ilvl w:val="0"/>
          <w:numId w:val="12"/>
        </w:numPr>
        <w:spacing w:after="94" w:line="276" w:lineRule="auto"/>
        <w:ind w:left="0"/>
        <w:jc w:val="both"/>
        <w:rPr>
          <w:rFonts w:ascii="Calibri" w:hAnsi="Calibri" w:cs="Calibri"/>
          <w:sz w:val="22"/>
          <w:szCs w:val="22"/>
        </w:rPr>
      </w:pPr>
      <w:r w:rsidRPr="0019066F">
        <w:rPr>
          <w:rFonts w:ascii="Calibri" w:hAnsi="Calibri" w:cs="Calibri"/>
          <w:sz w:val="22"/>
          <w:szCs w:val="22"/>
        </w:rPr>
        <w:t xml:space="preserve">This document does not apply to decks supporting a hot tub or similar large concentrated load. An engineered drawing will be required in these instances. </w:t>
      </w:r>
    </w:p>
    <w:p w14:paraId="0EB607FC" w14:textId="77777777" w:rsidR="006E4369" w:rsidRPr="0019066F" w:rsidRDefault="006E4369" w:rsidP="000A44FA">
      <w:pPr>
        <w:pStyle w:val="Default"/>
        <w:numPr>
          <w:ilvl w:val="0"/>
          <w:numId w:val="12"/>
        </w:numPr>
        <w:spacing w:after="94" w:line="276" w:lineRule="auto"/>
        <w:ind w:left="0"/>
        <w:jc w:val="both"/>
        <w:rPr>
          <w:rFonts w:ascii="Calibri" w:hAnsi="Calibri" w:cs="Calibri"/>
          <w:sz w:val="22"/>
          <w:szCs w:val="22"/>
        </w:rPr>
      </w:pPr>
      <w:r w:rsidRPr="0019066F">
        <w:rPr>
          <w:rFonts w:ascii="Calibri" w:hAnsi="Calibri" w:cs="Calibri"/>
          <w:sz w:val="22"/>
          <w:szCs w:val="22"/>
        </w:rPr>
        <w:t xml:space="preserve">All decks require a permit except for those that are detached from the dwelling, less than 200 square feet, and less than 30” in height from the ground. </w:t>
      </w:r>
    </w:p>
    <w:p w14:paraId="1A76DA04" w14:textId="77777777" w:rsidR="006E4369" w:rsidRPr="0019066F" w:rsidRDefault="006E4369" w:rsidP="000A44FA">
      <w:pPr>
        <w:pStyle w:val="Default"/>
        <w:numPr>
          <w:ilvl w:val="0"/>
          <w:numId w:val="12"/>
        </w:numPr>
        <w:spacing w:after="94" w:line="276" w:lineRule="auto"/>
        <w:ind w:left="0"/>
        <w:jc w:val="both"/>
        <w:rPr>
          <w:rFonts w:ascii="Calibri" w:hAnsi="Calibri" w:cs="Calibri"/>
          <w:sz w:val="22"/>
          <w:szCs w:val="22"/>
        </w:rPr>
      </w:pPr>
      <w:r w:rsidRPr="0019066F">
        <w:rPr>
          <w:rFonts w:ascii="Calibri" w:hAnsi="Calibri" w:cs="Calibri"/>
          <w:sz w:val="22"/>
          <w:szCs w:val="22"/>
        </w:rPr>
        <w:t xml:space="preserve">All decks shall be constructed of materials resistant to moisture and decay. </w:t>
      </w:r>
    </w:p>
    <w:p w14:paraId="1442A5A1" w14:textId="77777777" w:rsidR="006E4369" w:rsidRPr="0019066F" w:rsidRDefault="006E4369" w:rsidP="000A44FA">
      <w:pPr>
        <w:pStyle w:val="Default"/>
        <w:numPr>
          <w:ilvl w:val="0"/>
          <w:numId w:val="12"/>
        </w:numPr>
        <w:spacing w:after="94" w:line="276" w:lineRule="auto"/>
        <w:ind w:left="0"/>
        <w:jc w:val="both"/>
        <w:rPr>
          <w:rFonts w:ascii="Calibri" w:hAnsi="Calibri" w:cs="Calibri"/>
          <w:sz w:val="22"/>
          <w:szCs w:val="22"/>
        </w:rPr>
      </w:pPr>
      <w:r w:rsidRPr="0019066F">
        <w:rPr>
          <w:rFonts w:ascii="Calibri" w:hAnsi="Calibri" w:cs="Calibri"/>
          <w:sz w:val="22"/>
          <w:szCs w:val="22"/>
        </w:rPr>
        <w:t>Lumber shall be No. 2 grade or better</w:t>
      </w:r>
    </w:p>
    <w:p w14:paraId="785D1367" w14:textId="571EBDA6" w:rsidR="006E4369" w:rsidRPr="0019066F" w:rsidRDefault="006E4369" w:rsidP="000A44FA">
      <w:pPr>
        <w:pStyle w:val="Default"/>
        <w:numPr>
          <w:ilvl w:val="0"/>
          <w:numId w:val="12"/>
        </w:numPr>
        <w:spacing w:after="94" w:line="276" w:lineRule="auto"/>
        <w:ind w:left="0"/>
        <w:jc w:val="both"/>
        <w:rPr>
          <w:rFonts w:ascii="Calibri" w:hAnsi="Calibri" w:cs="Calibri"/>
          <w:sz w:val="22"/>
          <w:szCs w:val="22"/>
        </w:rPr>
      </w:pPr>
      <w:r w:rsidRPr="0019066F">
        <w:rPr>
          <w:rFonts w:ascii="Calibri" w:hAnsi="Calibri" w:cs="Calibri"/>
          <w:sz w:val="22"/>
          <w:szCs w:val="22"/>
        </w:rPr>
        <w:t>Plastic composite deck boards, stair treads, guards or handrails must be stamped in compliance with ASTM D7032 and not exceed the flame spread index of 200 when tested with ASTM E84 or UL 723</w:t>
      </w:r>
      <w:r w:rsidR="001F478C">
        <w:rPr>
          <w:rFonts w:ascii="Calibri" w:hAnsi="Calibri" w:cs="Calibri"/>
          <w:sz w:val="22"/>
          <w:szCs w:val="22"/>
        </w:rPr>
        <w:t xml:space="preserve"> and </w:t>
      </w:r>
      <w:r w:rsidR="00E70D28">
        <w:rPr>
          <w:rFonts w:ascii="Calibri" w:hAnsi="Calibri" w:cs="Calibri"/>
          <w:sz w:val="22"/>
          <w:szCs w:val="22"/>
        </w:rPr>
        <w:t>termite resistant in accordance with ASTM D7032</w:t>
      </w:r>
    </w:p>
    <w:p w14:paraId="25BE53DA" w14:textId="77777777" w:rsidR="006E4369" w:rsidRPr="0019066F" w:rsidRDefault="006E4369" w:rsidP="000A44FA">
      <w:pPr>
        <w:pStyle w:val="Default"/>
        <w:numPr>
          <w:ilvl w:val="0"/>
          <w:numId w:val="12"/>
        </w:numPr>
        <w:spacing w:after="94" w:line="276" w:lineRule="auto"/>
        <w:ind w:left="0"/>
        <w:jc w:val="both"/>
        <w:rPr>
          <w:rFonts w:ascii="Calibri" w:hAnsi="Calibri" w:cs="Calibri"/>
          <w:sz w:val="22"/>
          <w:szCs w:val="22"/>
        </w:rPr>
      </w:pPr>
      <w:r w:rsidRPr="0019066F">
        <w:rPr>
          <w:rFonts w:ascii="Calibri" w:hAnsi="Calibri" w:cs="Calibri"/>
          <w:sz w:val="22"/>
          <w:szCs w:val="22"/>
        </w:rPr>
        <w:t xml:space="preserve">All screws, bolts, washers, nuts, and nails for use with preservative treated wood shall be hot‐dipped zinc‐coated galvanized steel, stainless steel, silicon bronze, or copper. </w:t>
      </w:r>
    </w:p>
    <w:p w14:paraId="11A3885F" w14:textId="5120EED5" w:rsidR="006E4369" w:rsidRPr="0019066F" w:rsidRDefault="006E4369" w:rsidP="000A44FA">
      <w:pPr>
        <w:pStyle w:val="Default"/>
        <w:numPr>
          <w:ilvl w:val="0"/>
          <w:numId w:val="12"/>
        </w:numPr>
        <w:spacing w:line="276" w:lineRule="auto"/>
        <w:ind w:left="0"/>
        <w:jc w:val="both"/>
        <w:rPr>
          <w:rFonts w:ascii="Calibri" w:hAnsi="Calibri" w:cs="Calibri"/>
          <w:sz w:val="22"/>
          <w:szCs w:val="22"/>
        </w:rPr>
      </w:pPr>
      <w:r w:rsidRPr="0019066F">
        <w:rPr>
          <w:rFonts w:ascii="Calibri" w:hAnsi="Calibri" w:cs="Calibri"/>
          <w:sz w:val="22"/>
          <w:szCs w:val="22"/>
        </w:rPr>
        <w:t>In lieu of the requirements in this document, an engineer’s report showing structural equivalency may be submitted for review.</w:t>
      </w:r>
    </w:p>
    <w:p w14:paraId="77774C60" w14:textId="2A324B1C" w:rsidR="006E4369" w:rsidRPr="0019066F" w:rsidRDefault="006E4369" w:rsidP="000A44FA">
      <w:pPr>
        <w:pStyle w:val="Default"/>
        <w:numPr>
          <w:ilvl w:val="0"/>
          <w:numId w:val="12"/>
        </w:numPr>
        <w:spacing w:line="276" w:lineRule="auto"/>
        <w:ind w:left="0"/>
        <w:jc w:val="both"/>
        <w:rPr>
          <w:rFonts w:ascii="Calibri" w:hAnsi="Calibri" w:cs="Calibri"/>
          <w:sz w:val="22"/>
          <w:szCs w:val="22"/>
        </w:rPr>
      </w:pPr>
      <w:r w:rsidRPr="0019066F">
        <w:rPr>
          <w:rFonts w:ascii="Calibri" w:hAnsi="Calibri" w:cs="Calibri"/>
          <w:sz w:val="22"/>
          <w:szCs w:val="22"/>
        </w:rPr>
        <w:t>Flashing shall be corrosion-resistant metal of nominal thickness not less than 0.019 inch or approved nonmetallic material that is compatible with the substrate of the structure and the decking materials.</w:t>
      </w:r>
    </w:p>
    <w:p w14:paraId="49B36480" w14:textId="77777777" w:rsidR="006E4369" w:rsidRDefault="006E4369" w:rsidP="006E4369">
      <w:pPr>
        <w:pStyle w:val="Default"/>
        <w:rPr>
          <w:rFonts w:ascii="Calibri" w:hAnsi="Calibri" w:cs="Calibri"/>
          <w:sz w:val="22"/>
          <w:szCs w:val="22"/>
        </w:rPr>
      </w:pPr>
    </w:p>
    <w:p w14:paraId="022360FD" w14:textId="4F92D471" w:rsidR="006E4369" w:rsidRPr="000A44FA" w:rsidRDefault="006E4369" w:rsidP="001D2E89">
      <w:pPr>
        <w:pStyle w:val="CM8"/>
        <w:spacing w:after="142"/>
        <w:ind w:left="-360"/>
        <w:rPr>
          <w:rFonts w:ascii="Calibri" w:hAnsi="Calibri" w:cs="Calibri"/>
          <w:b/>
          <w:bCs/>
          <w:i/>
          <w:iCs/>
          <w:color w:val="000000"/>
          <w:sz w:val="36"/>
          <w:szCs w:val="36"/>
          <w:u w:val="single"/>
        </w:rPr>
      </w:pPr>
      <w:r w:rsidRPr="000A44FA">
        <w:rPr>
          <w:rFonts w:ascii="Calibri" w:hAnsi="Calibri" w:cs="Calibri"/>
          <w:b/>
          <w:bCs/>
          <w:i/>
          <w:iCs/>
          <w:color w:val="000000"/>
          <w:sz w:val="36"/>
          <w:szCs w:val="36"/>
          <w:u w:val="single"/>
        </w:rPr>
        <w:t>FOOTINGS AND POSTS</w:t>
      </w:r>
    </w:p>
    <w:p w14:paraId="28606BC7" w14:textId="6B05922A" w:rsidR="00E70D28" w:rsidRPr="00E70D28" w:rsidRDefault="006E4369" w:rsidP="00E70D28">
      <w:pPr>
        <w:pStyle w:val="Default"/>
        <w:numPr>
          <w:ilvl w:val="0"/>
          <w:numId w:val="16"/>
        </w:numPr>
        <w:spacing w:after="94" w:line="276" w:lineRule="auto"/>
        <w:ind w:left="0"/>
        <w:jc w:val="both"/>
        <w:rPr>
          <w:rFonts w:ascii="Calibri" w:hAnsi="Calibri" w:cs="Calibri"/>
          <w:sz w:val="22"/>
          <w:szCs w:val="22"/>
        </w:rPr>
      </w:pPr>
      <w:r w:rsidRPr="0019066F">
        <w:rPr>
          <w:rFonts w:ascii="Calibri" w:hAnsi="Calibri" w:cs="Calibri"/>
          <w:sz w:val="22"/>
          <w:szCs w:val="22"/>
        </w:rPr>
        <w:t>Decks are required to be properly anchored to the ground. Prefabricated deck footings that sit on top of the ground are not permitted to serve as the foundation for a deck.</w:t>
      </w:r>
      <w:r w:rsidR="00E70D28">
        <w:rPr>
          <w:rFonts w:ascii="Calibri" w:hAnsi="Calibri" w:cs="Calibri"/>
          <w:sz w:val="22"/>
          <w:szCs w:val="22"/>
        </w:rPr>
        <w:t xml:space="preserve"> </w:t>
      </w:r>
    </w:p>
    <w:p w14:paraId="5A300A26" w14:textId="3E3BFA61" w:rsidR="00E70D28" w:rsidRDefault="00AB308D" w:rsidP="00E70D28">
      <w:pPr>
        <w:pStyle w:val="Default"/>
        <w:numPr>
          <w:ilvl w:val="0"/>
          <w:numId w:val="16"/>
        </w:numPr>
        <w:spacing w:after="94" w:line="276" w:lineRule="auto"/>
        <w:ind w:left="0"/>
        <w:jc w:val="both"/>
        <w:rPr>
          <w:rFonts w:ascii="Calibri" w:hAnsi="Calibri" w:cs="Calibri"/>
          <w:sz w:val="22"/>
          <w:szCs w:val="22"/>
        </w:rPr>
      </w:pPr>
      <w:r w:rsidRPr="0019066F">
        <w:rPr>
          <w:rFonts w:ascii="Calibri" w:hAnsi="Calibri" w:cs="Calibri"/>
          <w:sz w:val="22"/>
          <w:szCs w:val="22"/>
        </w:rPr>
        <w:t>All footings must be a minimum 12” deep. Exact footing size to be determined by the table R507.3.1</w:t>
      </w:r>
    </w:p>
    <w:p w14:paraId="6A67BBB3" w14:textId="21164857" w:rsidR="00E70D28" w:rsidRPr="00E70D28" w:rsidRDefault="00E70D28" w:rsidP="00E70D28">
      <w:pPr>
        <w:pStyle w:val="Default"/>
        <w:spacing w:after="94" w:line="276" w:lineRule="auto"/>
        <w:jc w:val="both"/>
        <w:rPr>
          <w:rFonts w:ascii="Calibri" w:hAnsi="Calibri" w:cs="Calibri"/>
          <w:sz w:val="22"/>
          <w:szCs w:val="22"/>
        </w:rPr>
      </w:pPr>
      <w:r w:rsidRPr="00C36501">
        <w:rPr>
          <w:rFonts w:ascii="Calibri" w:hAnsi="Calibri" w:cs="Calibri"/>
          <w:b/>
          <w:bCs/>
          <w:sz w:val="22"/>
          <w:szCs w:val="22"/>
        </w:rPr>
        <w:t>Exception:</w:t>
      </w:r>
      <w:r w:rsidRPr="00E70D28">
        <w:rPr>
          <w:rFonts w:ascii="Calibri" w:hAnsi="Calibri" w:cs="Calibri"/>
          <w:sz w:val="22"/>
          <w:szCs w:val="22"/>
        </w:rPr>
        <w:t xml:space="preserve"> Free standing decks that meet </w:t>
      </w:r>
      <w:proofErr w:type="gramStart"/>
      <w:r w:rsidRPr="00E70D28">
        <w:rPr>
          <w:rFonts w:ascii="Calibri" w:hAnsi="Calibri" w:cs="Calibri"/>
          <w:sz w:val="22"/>
          <w:szCs w:val="22"/>
        </w:rPr>
        <w:t>all of</w:t>
      </w:r>
      <w:proofErr w:type="gramEnd"/>
      <w:r w:rsidRPr="00E70D28">
        <w:rPr>
          <w:rFonts w:ascii="Calibri" w:hAnsi="Calibri" w:cs="Calibri"/>
          <w:sz w:val="22"/>
          <w:szCs w:val="22"/>
        </w:rPr>
        <w:t xml:space="preserve"> the following </w:t>
      </w:r>
      <w:r w:rsidR="00C36501" w:rsidRPr="00E70D28">
        <w:rPr>
          <w:rFonts w:ascii="Calibri" w:hAnsi="Calibri" w:cs="Calibri"/>
          <w:sz w:val="22"/>
          <w:szCs w:val="22"/>
        </w:rPr>
        <w:t>criteria</w:t>
      </w:r>
      <w:r w:rsidRPr="00E70D28">
        <w:rPr>
          <w:rFonts w:ascii="Calibri" w:hAnsi="Calibri" w:cs="Calibri"/>
          <w:sz w:val="22"/>
          <w:szCs w:val="22"/>
        </w:rPr>
        <w:t>:</w:t>
      </w:r>
    </w:p>
    <w:p w14:paraId="2898A469" w14:textId="77777777" w:rsidR="00E70D28" w:rsidRPr="00C36501" w:rsidRDefault="00E70D28" w:rsidP="00C36501">
      <w:pPr>
        <w:pStyle w:val="Default"/>
        <w:numPr>
          <w:ilvl w:val="0"/>
          <w:numId w:val="20"/>
        </w:numPr>
        <w:spacing w:after="94" w:line="276" w:lineRule="auto"/>
        <w:jc w:val="both"/>
        <w:rPr>
          <w:rFonts w:ascii="Calibri" w:hAnsi="Calibri" w:cs="Calibri"/>
          <w:i/>
          <w:iCs/>
          <w:sz w:val="22"/>
          <w:szCs w:val="22"/>
        </w:rPr>
      </w:pPr>
      <w:r w:rsidRPr="00C36501">
        <w:rPr>
          <w:rFonts w:ascii="Calibri" w:hAnsi="Calibri" w:cs="Calibri"/>
          <w:i/>
          <w:iCs/>
          <w:sz w:val="22"/>
          <w:szCs w:val="22"/>
        </w:rPr>
        <w:t>The joists bear directly on precast concrete pier blocks at grade without support by beams or posts</w:t>
      </w:r>
    </w:p>
    <w:p w14:paraId="02E81695" w14:textId="77777777" w:rsidR="00E70D28" w:rsidRPr="00C36501" w:rsidRDefault="00E70D28" w:rsidP="00C36501">
      <w:pPr>
        <w:pStyle w:val="Default"/>
        <w:numPr>
          <w:ilvl w:val="0"/>
          <w:numId w:val="20"/>
        </w:numPr>
        <w:spacing w:after="94" w:line="276" w:lineRule="auto"/>
        <w:jc w:val="both"/>
        <w:rPr>
          <w:rFonts w:ascii="Calibri" w:hAnsi="Calibri" w:cs="Calibri"/>
          <w:i/>
          <w:iCs/>
          <w:sz w:val="22"/>
          <w:szCs w:val="22"/>
        </w:rPr>
      </w:pPr>
      <w:r w:rsidRPr="00C36501">
        <w:rPr>
          <w:rFonts w:ascii="Calibri" w:hAnsi="Calibri" w:cs="Calibri"/>
          <w:i/>
          <w:iCs/>
          <w:sz w:val="22"/>
          <w:szCs w:val="22"/>
        </w:rPr>
        <w:t>The area of the deck does not exceed 200 square feet</w:t>
      </w:r>
    </w:p>
    <w:p w14:paraId="5ED9F3B8" w14:textId="67DAA851" w:rsidR="00E70D28" w:rsidRPr="00C36501" w:rsidRDefault="00E70D28" w:rsidP="00E70D28">
      <w:pPr>
        <w:pStyle w:val="Default"/>
        <w:numPr>
          <w:ilvl w:val="0"/>
          <w:numId w:val="20"/>
        </w:numPr>
        <w:spacing w:after="94" w:line="276" w:lineRule="auto"/>
        <w:jc w:val="both"/>
        <w:rPr>
          <w:rFonts w:ascii="Calibri" w:hAnsi="Calibri" w:cs="Calibri"/>
          <w:i/>
          <w:iCs/>
          <w:sz w:val="22"/>
          <w:szCs w:val="22"/>
        </w:rPr>
      </w:pPr>
      <w:r w:rsidRPr="00C36501">
        <w:rPr>
          <w:rFonts w:ascii="Calibri" w:hAnsi="Calibri" w:cs="Calibri"/>
          <w:i/>
          <w:iCs/>
          <w:sz w:val="22"/>
          <w:szCs w:val="22"/>
        </w:rPr>
        <w:t xml:space="preserve">The walking surface is not more than 20 inches above grade at any point within 36 inches measured horizontally from the edge. </w:t>
      </w:r>
    </w:p>
    <w:p w14:paraId="3CE3D749" w14:textId="437A68F6" w:rsidR="001C5DA2" w:rsidRDefault="001C5DA2" w:rsidP="001D2E89">
      <w:pPr>
        <w:pStyle w:val="Default"/>
        <w:spacing w:after="94"/>
        <w:ind w:left="-270"/>
        <w:jc w:val="both"/>
        <w:rPr>
          <w:rFonts w:ascii="Calibri" w:hAnsi="Calibri" w:cs="Calibri"/>
          <w:sz w:val="22"/>
          <w:szCs w:val="22"/>
        </w:rPr>
      </w:pPr>
      <w:r>
        <w:rPr>
          <w:rFonts w:ascii="Calibri" w:hAnsi="Calibri" w:cs="Calibri"/>
          <w:noProof/>
          <w:sz w:val="22"/>
          <w:szCs w:val="22"/>
        </w:rPr>
        <w:lastRenderedPageBreak/>
        <w:drawing>
          <wp:inline distT="0" distB="0" distL="0" distR="0" wp14:anchorId="5261FF06" wp14:editId="35FD95E8">
            <wp:extent cx="7129031" cy="517779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 deck footing size crop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51234" cy="5266546"/>
                    </a:xfrm>
                    <a:prstGeom prst="rect">
                      <a:avLst/>
                    </a:prstGeom>
                  </pic:spPr>
                </pic:pic>
              </a:graphicData>
            </a:graphic>
          </wp:inline>
        </w:drawing>
      </w:r>
    </w:p>
    <w:p w14:paraId="3CBBC254" w14:textId="11DB5843" w:rsidR="001C5DA2" w:rsidRPr="0019066F" w:rsidRDefault="001C5DA2" w:rsidP="001C5DA2">
      <w:pPr>
        <w:pStyle w:val="Default"/>
        <w:spacing w:after="94"/>
        <w:jc w:val="center"/>
        <w:rPr>
          <w:rFonts w:ascii="Calibri" w:hAnsi="Calibri" w:cs="Calibri"/>
          <w:sz w:val="18"/>
          <w:szCs w:val="18"/>
        </w:rPr>
      </w:pPr>
    </w:p>
    <w:p w14:paraId="4663E9D9" w14:textId="76C8368D" w:rsidR="00473660" w:rsidRDefault="00473660" w:rsidP="000A44FA">
      <w:pPr>
        <w:pStyle w:val="Default"/>
        <w:numPr>
          <w:ilvl w:val="0"/>
          <w:numId w:val="13"/>
        </w:numPr>
        <w:spacing w:after="94"/>
        <w:ind w:left="0"/>
        <w:rPr>
          <w:rFonts w:ascii="Calibri" w:hAnsi="Calibri" w:cs="Calibri"/>
          <w:sz w:val="22"/>
          <w:szCs w:val="22"/>
        </w:rPr>
      </w:pPr>
      <w:r w:rsidRPr="00710218">
        <w:rPr>
          <w:rFonts w:ascii="Calibri" w:hAnsi="Calibri" w:cs="Calibri"/>
          <w:b/>
          <w:bCs/>
          <w:sz w:val="22"/>
          <w:szCs w:val="22"/>
        </w:rPr>
        <w:t>Single-level deck post sizing</w:t>
      </w:r>
      <w:r w:rsidR="00710218">
        <w:rPr>
          <w:rFonts w:ascii="Calibri" w:hAnsi="Calibri" w:cs="Calibri"/>
          <w:sz w:val="22"/>
          <w:szCs w:val="22"/>
        </w:rPr>
        <w:t xml:space="preserve">: Sizing </w:t>
      </w:r>
      <w:r w:rsidRPr="00661C0D">
        <w:rPr>
          <w:rFonts w:ascii="Calibri" w:hAnsi="Calibri" w:cs="Calibri"/>
          <w:sz w:val="22"/>
          <w:szCs w:val="22"/>
        </w:rPr>
        <w:t>is based on height</w:t>
      </w:r>
      <w:r w:rsidR="00710218">
        <w:rPr>
          <w:rFonts w:ascii="Calibri" w:hAnsi="Calibri" w:cs="Calibri"/>
          <w:sz w:val="22"/>
          <w:szCs w:val="22"/>
        </w:rPr>
        <w:t xml:space="preserve"> shown in Table R507.4.</w:t>
      </w:r>
      <w:r w:rsidRPr="00661C0D">
        <w:rPr>
          <w:rFonts w:ascii="Calibri" w:hAnsi="Calibri" w:cs="Calibri"/>
          <w:sz w:val="22"/>
          <w:szCs w:val="22"/>
        </w:rPr>
        <w:t xml:space="preserve"> No deck shall exceed a height of 14’ without an engineered de</w:t>
      </w:r>
      <w:r>
        <w:rPr>
          <w:rFonts w:ascii="Calibri" w:hAnsi="Calibri" w:cs="Calibri"/>
          <w:sz w:val="22"/>
          <w:szCs w:val="22"/>
        </w:rPr>
        <w:t>sign.</w:t>
      </w:r>
    </w:p>
    <w:p w14:paraId="2F46AB35" w14:textId="77777777" w:rsidR="0019066F" w:rsidRDefault="0019066F" w:rsidP="0019066F">
      <w:pPr>
        <w:pStyle w:val="Default"/>
        <w:spacing w:after="94"/>
        <w:rPr>
          <w:rFonts w:ascii="Calibri" w:hAnsi="Calibri" w:cs="Calibri"/>
          <w:sz w:val="22"/>
          <w:szCs w:val="22"/>
        </w:rPr>
      </w:pPr>
    </w:p>
    <w:p w14:paraId="020EFAD5" w14:textId="529A87B6" w:rsidR="00473660" w:rsidRPr="00661C0D" w:rsidRDefault="00473660" w:rsidP="001D2E89">
      <w:pPr>
        <w:pStyle w:val="Default"/>
        <w:spacing w:after="94"/>
        <w:rPr>
          <w:rFonts w:ascii="Calibri" w:hAnsi="Calibri" w:cs="Calibri"/>
          <w:sz w:val="22"/>
          <w:szCs w:val="22"/>
        </w:rPr>
      </w:pPr>
      <w:r>
        <w:rPr>
          <w:rFonts w:ascii="Calibri" w:hAnsi="Calibri" w:cs="Calibri"/>
          <w:noProof/>
          <w:sz w:val="22"/>
          <w:szCs w:val="22"/>
        </w:rPr>
        <w:lastRenderedPageBreak/>
        <w:drawing>
          <wp:inline distT="0" distB="0" distL="0" distR="0" wp14:anchorId="13B97E6B" wp14:editId="75F99AFA">
            <wp:extent cx="2500518" cy="1589964"/>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 deck post height crop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2302" cy="1800930"/>
                    </a:xfrm>
                    <a:prstGeom prst="rect">
                      <a:avLst/>
                    </a:prstGeom>
                  </pic:spPr>
                </pic:pic>
              </a:graphicData>
            </a:graphic>
          </wp:inline>
        </w:drawing>
      </w:r>
      <w:r w:rsidR="001D2E89">
        <w:rPr>
          <w:rFonts w:ascii="Calibri" w:hAnsi="Calibri" w:cs="Calibri"/>
          <w:noProof/>
          <w:sz w:val="22"/>
          <w:szCs w:val="22"/>
        </w:rPr>
        <w:drawing>
          <wp:inline distT="0" distB="0" distL="0" distR="0" wp14:anchorId="0D552FAE" wp14:editId="76AF3226">
            <wp:extent cx="4219765" cy="1636347"/>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ck post to deck footing connec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42062" cy="1761328"/>
                    </a:xfrm>
                    <a:prstGeom prst="rect">
                      <a:avLst/>
                    </a:prstGeom>
                  </pic:spPr>
                </pic:pic>
              </a:graphicData>
            </a:graphic>
          </wp:inline>
        </w:drawing>
      </w:r>
    </w:p>
    <w:p w14:paraId="3F595748" w14:textId="77777777" w:rsidR="000A44FA" w:rsidRPr="000A44FA" w:rsidRDefault="000A44FA" w:rsidP="001D2E89">
      <w:pPr>
        <w:pStyle w:val="CM10"/>
        <w:spacing w:after="255"/>
        <w:ind w:left="-360"/>
        <w:rPr>
          <w:rFonts w:ascii="Calibri" w:hAnsi="Calibri" w:cs="Calibri"/>
          <w:b/>
          <w:bCs/>
          <w:i/>
          <w:iCs/>
          <w:color w:val="000000"/>
          <w:sz w:val="36"/>
          <w:szCs w:val="36"/>
          <w:u w:val="single"/>
        </w:rPr>
      </w:pPr>
      <w:r w:rsidRPr="000A44FA">
        <w:rPr>
          <w:rFonts w:ascii="Calibri" w:hAnsi="Calibri" w:cs="Calibri"/>
          <w:b/>
          <w:bCs/>
          <w:i/>
          <w:iCs/>
          <w:color w:val="000000"/>
          <w:sz w:val="36"/>
          <w:szCs w:val="36"/>
          <w:u w:val="single"/>
        </w:rPr>
        <w:t xml:space="preserve">Deck Beams </w:t>
      </w:r>
    </w:p>
    <w:p w14:paraId="17F790A1" w14:textId="338B2B7A" w:rsidR="00473660" w:rsidRPr="0019066F" w:rsidRDefault="00710218" w:rsidP="000A44FA">
      <w:pPr>
        <w:pStyle w:val="ListParagraph"/>
        <w:numPr>
          <w:ilvl w:val="0"/>
          <w:numId w:val="17"/>
        </w:numPr>
        <w:spacing w:line="240" w:lineRule="auto"/>
        <w:ind w:left="0"/>
        <w:jc w:val="both"/>
      </w:pPr>
      <w:r w:rsidRPr="00710218">
        <w:rPr>
          <w:b/>
          <w:bCs/>
        </w:rPr>
        <w:t>Deck Beam Spans:</w:t>
      </w:r>
      <w:r>
        <w:t xml:space="preserve"> </w:t>
      </w:r>
      <w:r w:rsidR="00473660" w:rsidRPr="0019066F">
        <w:t xml:space="preserve">Decks with beams shall </w:t>
      </w:r>
      <w:r w:rsidR="0053519C" w:rsidRPr="0019066F">
        <w:t xml:space="preserve">use </w:t>
      </w:r>
      <w:r w:rsidR="00473660" w:rsidRPr="0019066F">
        <w:t>Table R507.5</w:t>
      </w:r>
      <w:r w:rsidR="0053519C" w:rsidRPr="0019066F">
        <w:t xml:space="preserve"> for sizing the beam properly:</w:t>
      </w:r>
    </w:p>
    <w:p w14:paraId="6EC6ACA4" w14:textId="60B9CBFC" w:rsidR="00473660" w:rsidRPr="00473660" w:rsidRDefault="00473660" w:rsidP="001D2E89">
      <w:pPr>
        <w:spacing w:line="240" w:lineRule="auto"/>
        <w:ind w:left="-360"/>
        <w:jc w:val="center"/>
      </w:pPr>
      <w:r>
        <w:rPr>
          <w:noProof/>
        </w:rPr>
        <w:drawing>
          <wp:inline distT="0" distB="0" distL="0" distR="0" wp14:anchorId="0900736F" wp14:editId="71494AE2">
            <wp:extent cx="7259649" cy="4244454"/>
            <wp:effectExtent l="0" t="0" r="0" b="0"/>
            <wp:docPr id="10" name="Picture 1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 deck joist span table crop 5.jpg"/>
                    <pic:cNvPicPr/>
                  </pic:nvPicPr>
                  <pic:blipFill>
                    <a:blip r:embed="rId11">
                      <a:extLst>
                        <a:ext uri="{28A0092B-C50C-407E-A947-70E740481C1C}">
                          <a14:useLocalDpi xmlns:a14="http://schemas.microsoft.com/office/drawing/2010/main" val="0"/>
                        </a:ext>
                      </a:extLst>
                    </a:blip>
                    <a:stretch>
                      <a:fillRect/>
                    </a:stretch>
                  </pic:blipFill>
                  <pic:spPr>
                    <a:xfrm>
                      <a:off x="0" y="0"/>
                      <a:ext cx="7366107" cy="4306696"/>
                    </a:xfrm>
                    <a:prstGeom prst="rect">
                      <a:avLst/>
                    </a:prstGeom>
                  </pic:spPr>
                </pic:pic>
              </a:graphicData>
            </a:graphic>
          </wp:inline>
        </w:drawing>
      </w:r>
    </w:p>
    <w:p w14:paraId="05713D57" w14:textId="5CAF6905" w:rsidR="00473660" w:rsidRDefault="000A44FA" w:rsidP="001D2E89">
      <w:pPr>
        <w:spacing w:line="240" w:lineRule="auto"/>
        <w:ind w:left="-360"/>
        <w:jc w:val="center"/>
        <w:rPr>
          <w:rFonts w:ascii="Calibri" w:hAnsi="Calibri" w:cs="Calibri"/>
        </w:rPr>
      </w:pPr>
      <w:r>
        <w:rPr>
          <w:noProof/>
        </w:rPr>
        <w:lastRenderedPageBreak/>
        <w:drawing>
          <wp:inline distT="0" distB="0" distL="0" distR="0" wp14:anchorId="505CCA7E" wp14:editId="237EF4BC">
            <wp:extent cx="7245350" cy="25589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 deck typical deck joist span crop 8.jpg"/>
                    <pic:cNvPicPr/>
                  </pic:nvPicPr>
                  <pic:blipFill>
                    <a:blip r:embed="rId12">
                      <a:extLst>
                        <a:ext uri="{28A0092B-C50C-407E-A947-70E740481C1C}">
                          <a14:useLocalDpi xmlns:a14="http://schemas.microsoft.com/office/drawing/2010/main" val="0"/>
                        </a:ext>
                      </a:extLst>
                    </a:blip>
                    <a:stretch>
                      <a:fillRect/>
                    </a:stretch>
                  </pic:blipFill>
                  <pic:spPr>
                    <a:xfrm>
                      <a:off x="0" y="0"/>
                      <a:ext cx="7437745" cy="2626907"/>
                    </a:xfrm>
                    <a:prstGeom prst="rect">
                      <a:avLst/>
                    </a:prstGeom>
                  </pic:spPr>
                </pic:pic>
              </a:graphicData>
            </a:graphic>
          </wp:inline>
        </w:drawing>
      </w:r>
    </w:p>
    <w:p w14:paraId="05C8205F" w14:textId="063CCC17" w:rsidR="00DE615E" w:rsidRDefault="00710218" w:rsidP="00710218">
      <w:pPr>
        <w:pStyle w:val="ListParagraph"/>
        <w:numPr>
          <w:ilvl w:val="0"/>
          <w:numId w:val="17"/>
        </w:numPr>
        <w:spacing w:line="360" w:lineRule="auto"/>
        <w:ind w:left="0"/>
        <w:jc w:val="center"/>
      </w:pPr>
      <w:r w:rsidRPr="00710218">
        <w:rPr>
          <w:b/>
          <w:bCs/>
        </w:rPr>
        <w:t>Deck Beam Bearing:</w:t>
      </w:r>
      <w:r>
        <w:t xml:space="preserve"> </w:t>
      </w:r>
      <w:r w:rsidR="00DE615E">
        <w:t>Deck beams must bear no less than 1 ½ inches of bearing on wood or metal and not less than 3 inches on concrete or masonry for the entire width of the beam. When there are multiple span beams bearing on intermediate posts each ply must have full bearing on the post matching figure 507.5.1 (1) and R507.5.1 (2)</w:t>
      </w:r>
      <w:r w:rsidR="0019066F" w:rsidRPr="0019066F">
        <w:rPr>
          <w:noProof/>
        </w:rPr>
        <w:t xml:space="preserve"> </w:t>
      </w:r>
      <w:r w:rsidR="0019066F">
        <w:rPr>
          <w:noProof/>
        </w:rPr>
        <w:lastRenderedPageBreak/>
        <w:drawing>
          <wp:inline distT="0" distB="0" distL="0" distR="0" wp14:anchorId="655B5FE8" wp14:editId="2846450F">
            <wp:extent cx="4974609" cy="3065483"/>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 deck notched post to beam connection crop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93556" cy="3262027"/>
                    </a:xfrm>
                    <a:prstGeom prst="rect">
                      <a:avLst/>
                    </a:prstGeom>
                  </pic:spPr>
                </pic:pic>
              </a:graphicData>
            </a:graphic>
          </wp:inline>
        </w:drawing>
      </w:r>
      <w:r w:rsidR="0019066F">
        <w:rPr>
          <w:noProof/>
        </w:rPr>
        <w:drawing>
          <wp:inline distT="0" distB="0" distL="0" distR="0" wp14:anchorId="231E63AD" wp14:editId="4018A4E7">
            <wp:extent cx="6469039" cy="2804573"/>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 deck beam to deck post crop 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51261" cy="3056988"/>
                    </a:xfrm>
                    <a:prstGeom prst="rect">
                      <a:avLst/>
                    </a:prstGeom>
                  </pic:spPr>
                </pic:pic>
              </a:graphicData>
            </a:graphic>
          </wp:inline>
        </w:drawing>
      </w:r>
    </w:p>
    <w:p w14:paraId="22C1DBE5" w14:textId="77777777" w:rsidR="0019066F" w:rsidRDefault="0019066F" w:rsidP="0019066F">
      <w:pPr>
        <w:pStyle w:val="ListParagraph"/>
        <w:spacing w:line="360" w:lineRule="auto"/>
        <w:ind w:left="0"/>
        <w:jc w:val="both"/>
      </w:pPr>
    </w:p>
    <w:p w14:paraId="754CBFD0" w14:textId="0C15320E" w:rsidR="0053519C" w:rsidRDefault="001F478C" w:rsidP="0019066F">
      <w:pPr>
        <w:pStyle w:val="ListParagraph"/>
        <w:numPr>
          <w:ilvl w:val="0"/>
          <w:numId w:val="17"/>
        </w:numPr>
        <w:spacing w:line="360" w:lineRule="auto"/>
        <w:ind w:left="0"/>
        <w:jc w:val="both"/>
      </w:pPr>
      <w:r w:rsidRPr="001F478C">
        <w:rPr>
          <w:b/>
          <w:bCs/>
        </w:rPr>
        <w:t>Deck Beam Support:</w:t>
      </w:r>
      <w:r>
        <w:t xml:space="preserve"> </w:t>
      </w:r>
      <w:r w:rsidR="0053519C">
        <w:t>Deck beams shall be attached to supports in a manner capable of transferring vertical loads and resisting horizonal displacement. Manufactured post-to-beam connectors shall be sized for the post and beam sizes. Bolts shall have washers under the head and nut</w:t>
      </w:r>
    </w:p>
    <w:p w14:paraId="17AE5AFA" w14:textId="7A210B08" w:rsidR="001D2E89" w:rsidRPr="000A44FA" w:rsidRDefault="001D2E89" w:rsidP="001D2E89">
      <w:pPr>
        <w:pStyle w:val="CM10"/>
        <w:spacing w:after="255"/>
        <w:ind w:left="-360"/>
        <w:rPr>
          <w:rFonts w:ascii="Calibri" w:hAnsi="Calibri" w:cs="Calibri"/>
          <w:b/>
          <w:bCs/>
          <w:i/>
          <w:iCs/>
          <w:color w:val="000000"/>
          <w:sz w:val="36"/>
          <w:szCs w:val="36"/>
          <w:u w:val="single"/>
        </w:rPr>
      </w:pPr>
      <w:r w:rsidRPr="000A44FA">
        <w:rPr>
          <w:rFonts w:ascii="Calibri" w:hAnsi="Calibri" w:cs="Calibri"/>
          <w:b/>
          <w:bCs/>
          <w:i/>
          <w:iCs/>
          <w:color w:val="000000"/>
          <w:sz w:val="36"/>
          <w:szCs w:val="36"/>
          <w:u w:val="single"/>
        </w:rPr>
        <w:t xml:space="preserve">Deck </w:t>
      </w:r>
      <w:r>
        <w:rPr>
          <w:rFonts w:ascii="Calibri" w:hAnsi="Calibri" w:cs="Calibri"/>
          <w:b/>
          <w:bCs/>
          <w:i/>
          <w:iCs/>
          <w:color w:val="000000"/>
          <w:sz w:val="36"/>
          <w:szCs w:val="36"/>
          <w:u w:val="single"/>
        </w:rPr>
        <w:t>Joist</w:t>
      </w:r>
      <w:r w:rsidRPr="000A44FA">
        <w:rPr>
          <w:rFonts w:ascii="Calibri" w:hAnsi="Calibri" w:cs="Calibri"/>
          <w:b/>
          <w:bCs/>
          <w:i/>
          <w:iCs/>
          <w:color w:val="000000"/>
          <w:sz w:val="36"/>
          <w:szCs w:val="36"/>
          <w:u w:val="single"/>
        </w:rPr>
        <w:t xml:space="preserve">s </w:t>
      </w:r>
    </w:p>
    <w:p w14:paraId="6D15DF27" w14:textId="226A7CB5" w:rsidR="0019066F" w:rsidRDefault="00DA2864" w:rsidP="003910E1">
      <w:pPr>
        <w:pStyle w:val="ListParagraph"/>
        <w:numPr>
          <w:ilvl w:val="0"/>
          <w:numId w:val="18"/>
        </w:numPr>
        <w:ind w:left="0"/>
        <w:jc w:val="both"/>
      </w:pPr>
      <w:r w:rsidRPr="001F478C">
        <w:rPr>
          <w:b/>
          <w:bCs/>
        </w:rPr>
        <w:lastRenderedPageBreak/>
        <w:t>Deck Joist Span:</w:t>
      </w:r>
      <w:r w:rsidRPr="0019066F">
        <w:t xml:space="preserve"> The maximum allowable spans for wood deck joists are shown in Figure R507.6</w:t>
      </w:r>
      <w:r w:rsidR="00F24B14">
        <w:t xml:space="preserve"> and </w:t>
      </w:r>
      <w:r w:rsidR="00F24B14" w:rsidRPr="0019066F">
        <w:t>shall</w:t>
      </w:r>
      <w:r w:rsidRPr="0019066F">
        <w:t xml:space="preserve"> be in accordance with Table R507.6.</w:t>
      </w:r>
      <w:r w:rsidR="0019066F" w:rsidRPr="0019066F">
        <w:rPr>
          <w:noProof/>
        </w:rPr>
        <w:t xml:space="preserve"> </w:t>
      </w:r>
    </w:p>
    <w:p w14:paraId="016159C7" w14:textId="23BB8CD0" w:rsidR="00DA2864" w:rsidRPr="0019066F" w:rsidRDefault="0019066F" w:rsidP="0019066F">
      <w:pPr>
        <w:pStyle w:val="ListParagraph"/>
        <w:spacing w:line="360" w:lineRule="auto"/>
        <w:ind w:left="-360"/>
        <w:jc w:val="center"/>
      </w:pPr>
      <w:r>
        <w:rPr>
          <w:noProof/>
        </w:rPr>
        <w:drawing>
          <wp:inline distT="0" distB="0" distL="0" distR="0" wp14:anchorId="50D2ABF9" wp14:editId="191F6BCF">
            <wp:extent cx="5348605" cy="2750023"/>
            <wp:effectExtent l="0" t="0" r="0" b="0"/>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 deck typical deck joist span crop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70418" cy="2864070"/>
                    </a:xfrm>
                    <a:prstGeom prst="rect">
                      <a:avLst/>
                    </a:prstGeom>
                  </pic:spPr>
                </pic:pic>
              </a:graphicData>
            </a:graphic>
          </wp:inline>
        </w:drawing>
      </w:r>
    </w:p>
    <w:p w14:paraId="538C1D9B" w14:textId="0C9DAA6B" w:rsidR="0019066F" w:rsidRPr="0019066F" w:rsidRDefault="00DA2864" w:rsidP="003910E1">
      <w:pPr>
        <w:pStyle w:val="ListParagraph"/>
        <w:numPr>
          <w:ilvl w:val="0"/>
          <w:numId w:val="18"/>
        </w:numPr>
        <w:ind w:left="0"/>
        <w:jc w:val="both"/>
      </w:pPr>
      <w:r w:rsidRPr="001F478C">
        <w:rPr>
          <w:b/>
          <w:bCs/>
        </w:rPr>
        <w:t>Deck Joist Cantilevering:</w:t>
      </w:r>
      <w:r w:rsidRPr="0019066F">
        <w:t xml:space="preserve"> The maximum allowable joist cantilever shall be limited to one-</w:t>
      </w:r>
      <w:r w:rsidR="00F24B14" w:rsidRPr="0019066F">
        <w:t>fourth</w:t>
      </w:r>
      <w:r w:rsidRPr="0019066F">
        <w:t xml:space="preserve"> (1/4) of the joist span or a maximum cantilever length specified in Table R507.6, whichever is less.</w:t>
      </w:r>
    </w:p>
    <w:p w14:paraId="698691C7" w14:textId="4A6B1DDF" w:rsidR="0019066F" w:rsidRDefault="0019066F" w:rsidP="0019066F">
      <w:pPr>
        <w:spacing w:line="360" w:lineRule="auto"/>
        <w:ind w:left="-360"/>
        <w:jc w:val="center"/>
      </w:pPr>
      <w:r>
        <w:rPr>
          <w:noProof/>
        </w:rPr>
        <w:drawing>
          <wp:inline distT="0" distB="0" distL="0" distR="0" wp14:anchorId="0A65D772" wp14:editId="26B5E75D">
            <wp:extent cx="7266305" cy="3534770"/>
            <wp:effectExtent l="0" t="0" r="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8 deck joist spans crop 9.jpg"/>
                    <pic:cNvPicPr/>
                  </pic:nvPicPr>
                  <pic:blipFill>
                    <a:blip r:embed="rId16">
                      <a:extLst>
                        <a:ext uri="{28A0092B-C50C-407E-A947-70E740481C1C}">
                          <a14:useLocalDpi xmlns:a14="http://schemas.microsoft.com/office/drawing/2010/main" val="0"/>
                        </a:ext>
                      </a:extLst>
                    </a:blip>
                    <a:stretch>
                      <a:fillRect/>
                    </a:stretch>
                  </pic:blipFill>
                  <pic:spPr>
                    <a:xfrm>
                      <a:off x="0" y="0"/>
                      <a:ext cx="7287678" cy="3545167"/>
                    </a:xfrm>
                    <a:prstGeom prst="rect">
                      <a:avLst/>
                    </a:prstGeom>
                  </pic:spPr>
                </pic:pic>
              </a:graphicData>
            </a:graphic>
          </wp:inline>
        </w:drawing>
      </w:r>
    </w:p>
    <w:p w14:paraId="59B6FE5D" w14:textId="5C490B5A" w:rsidR="00F24B14" w:rsidRDefault="00F24B14" w:rsidP="003910E1">
      <w:pPr>
        <w:pStyle w:val="ListParagraph"/>
        <w:numPr>
          <w:ilvl w:val="0"/>
          <w:numId w:val="18"/>
        </w:numPr>
        <w:ind w:left="0"/>
        <w:jc w:val="both"/>
      </w:pPr>
      <w:r w:rsidRPr="001F478C">
        <w:rPr>
          <w:b/>
          <w:bCs/>
        </w:rPr>
        <w:lastRenderedPageBreak/>
        <w:t>Deck Joist Spacing:</w:t>
      </w:r>
      <w:r w:rsidRPr="0019066F">
        <w:t xml:space="preserve"> The maximum joist spacing shall be limited by the decking materials in accordance with Table R507.7</w:t>
      </w:r>
    </w:p>
    <w:p w14:paraId="7945662A" w14:textId="05BE44F2" w:rsidR="00F24B14" w:rsidRPr="0019066F" w:rsidRDefault="00F24B14" w:rsidP="00F24B14">
      <w:pPr>
        <w:jc w:val="both"/>
      </w:pPr>
      <w:r>
        <w:rPr>
          <w:noProof/>
        </w:rPr>
        <w:drawing>
          <wp:inline distT="0" distB="0" distL="0" distR="0" wp14:anchorId="6F67B19B" wp14:editId="6EE85BC7">
            <wp:extent cx="6858000" cy="1718945"/>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 deck max joist spacing crop 10.jpg"/>
                    <pic:cNvPicPr/>
                  </pic:nvPicPr>
                  <pic:blipFill>
                    <a:blip r:embed="rId17">
                      <a:extLst>
                        <a:ext uri="{28A0092B-C50C-407E-A947-70E740481C1C}">
                          <a14:useLocalDpi xmlns:a14="http://schemas.microsoft.com/office/drawing/2010/main" val="0"/>
                        </a:ext>
                      </a:extLst>
                    </a:blip>
                    <a:stretch>
                      <a:fillRect/>
                    </a:stretch>
                  </pic:blipFill>
                  <pic:spPr>
                    <a:xfrm>
                      <a:off x="0" y="0"/>
                      <a:ext cx="6858000" cy="1718945"/>
                    </a:xfrm>
                    <a:prstGeom prst="rect">
                      <a:avLst/>
                    </a:prstGeom>
                  </pic:spPr>
                </pic:pic>
              </a:graphicData>
            </a:graphic>
          </wp:inline>
        </w:drawing>
      </w:r>
    </w:p>
    <w:p w14:paraId="686563ED" w14:textId="0C282CCC" w:rsidR="001D2E89" w:rsidRDefault="00DA2864" w:rsidP="00F24B14">
      <w:pPr>
        <w:pStyle w:val="ListParagraph"/>
        <w:numPr>
          <w:ilvl w:val="0"/>
          <w:numId w:val="17"/>
        </w:numPr>
        <w:ind w:left="0"/>
        <w:jc w:val="both"/>
      </w:pPr>
      <w:r w:rsidRPr="001F478C">
        <w:rPr>
          <w:b/>
          <w:bCs/>
        </w:rPr>
        <w:t>Deck Joist Bearing:</w:t>
      </w:r>
      <w:r>
        <w:t xml:space="preserve"> </w:t>
      </w:r>
      <w:r w:rsidR="001D2E89">
        <w:t xml:space="preserve">Deck </w:t>
      </w:r>
      <w:r>
        <w:t>joist bearing shall have no less than 1 ½ inches</w:t>
      </w:r>
      <w:r w:rsidR="0019066F">
        <w:t xml:space="preserve"> on wood or metal and no less than 3” on Concrete or masonry.</w:t>
      </w:r>
    </w:p>
    <w:p w14:paraId="4ABEF7C9" w14:textId="1D515DD3" w:rsidR="0019066F" w:rsidRDefault="0019066F" w:rsidP="00F24B14">
      <w:pPr>
        <w:pStyle w:val="ListParagraph"/>
        <w:numPr>
          <w:ilvl w:val="0"/>
          <w:numId w:val="17"/>
        </w:numPr>
        <w:ind w:left="0"/>
        <w:jc w:val="both"/>
      </w:pPr>
      <w:r w:rsidRPr="001F478C">
        <w:rPr>
          <w:b/>
          <w:bCs/>
        </w:rPr>
        <w:t>Deck Joist Connection:</w:t>
      </w:r>
      <w:r>
        <w:t xml:space="preserve"> Joists bearing on top of a multiple-ply bea</w:t>
      </w:r>
      <w:r w:rsidR="00F24B14">
        <w:t>m</w:t>
      </w:r>
      <w:r>
        <w:t xml:space="preserve"> or ledger shall be fastened in accordance with Table R602.3(1). Joists bearing on top of a single-ply beam or ledger shall be attached by a mechanical connector. Joist framing into the side of a beam or ledger board shall be supported by approved joist hangers.</w:t>
      </w:r>
    </w:p>
    <w:p w14:paraId="47BEAAF4" w14:textId="76F6A083" w:rsidR="003910E1" w:rsidRPr="000A44FA" w:rsidRDefault="003910E1" w:rsidP="003910E1">
      <w:pPr>
        <w:pStyle w:val="CM10"/>
        <w:spacing w:after="255"/>
        <w:ind w:left="-360"/>
        <w:rPr>
          <w:rFonts w:ascii="Calibri" w:hAnsi="Calibri" w:cs="Calibri"/>
          <w:b/>
          <w:bCs/>
          <w:i/>
          <w:iCs/>
          <w:color w:val="000000"/>
          <w:sz w:val="36"/>
          <w:szCs w:val="36"/>
          <w:u w:val="single"/>
        </w:rPr>
      </w:pPr>
      <w:r w:rsidRPr="000A44FA">
        <w:rPr>
          <w:rFonts w:ascii="Calibri" w:hAnsi="Calibri" w:cs="Calibri"/>
          <w:b/>
          <w:bCs/>
          <w:i/>
          <w:iCs/>
          <w:color w:val="000000"/>
          <w:sz w:val="36"/>
          <w:szCs w:val="36"/>
          <w:u w:val="single"/>
        </w:rPr>
        <w:t xml:space="preserve">Deck </w:t>
      </w:r>
      <w:r>
        <w:rPr>
          <w:rFonts w:ascii="Calibri" w:hAnsi="Calibri" w:cs="Calibri"/>
          <w:b/>
          <w:bCs/>
          <w:i/>
          <w:iCs/>
          <w:color w:val="000000"/>
          <w:sz w:val="36"/>
          <w:szCs w:val="36"/>
          <w:u w:val="single"/>
        </w:rPr>
        <w:t>Ledgers and Attachment to House</w:t>
      </w:r>
      <w:r w:rsidRPr="000A44FA">
        <w:rPr>
          <w:rFonts w:ascii="Calibri" w:hAnsi="Calibri" w:cs="Calibri"/>
          <w:b/>
          <w:bCs/>
          <w:i/>
          <w:iCs/>
          <w:color w:val="000000"/>
          <w:sz w:val="36"/>
          <w:szCs w:val="36"/>
          <w:u w:val="single"/>
        </w:rPr>
        <w:t xml:space="preserve"> </w:t>
      </w:r>
    </w:p>
    <w:p w14:paraId="279E150B" w14:textId="72DB5DFC" w:rsidR="00483FA8" w:rsidRDefault="003910E1" w:rsidP="00483FA8">
      <w:pPr>
        <w:pStyle w:val="ListParagraph"/>
        <w:numPr>
          <w:ilvl w:val="0"/>
          <w:numId w:val="3"/>
        </w:numPr>
        <w:ind w:left="180"/>
        <w:jc w:val="both"/>
      </w:pPr>
      <w:r w:rsidRPr="001F478C">
        <w:rPr>
          <w:b/>
          <w:bCs/>
        </w:rPr>
        <w:t xml:space="preserve">Deck </w:t>
      </w:r>
      <w:r w:rsidR="00483FA8" w:rsidRPr="001F478C">
        <w:rPr>
          <w:b/>
          <w:bCs/>
        </w:rPr>
        <w:t>Ledgers Details:</w:t>
      </w:r>
      <w:r w:rsidR="00483FA8">
        <w:t xml:space="preserve"> Deck ledgers shall be a minimum 2-inch by 8-inch nominal, pressure-preservative treated southern pine, incised pressure-preservative treated hem-fir, or approved, naturally durable, No. 2 grade or better lumber. Deck ledgers shall not support concentrated loads from beams or girders. Deck ledgers shall not be supported on store or masonry veneer.</w:t>
      </w:r>
    </w:p>
    <w:p w14:paraId="6EFDC695" w14:textId="64B1888D" w:rsidR="00483FA8" w:rsidRDefault="00483FA8" w:rsidP="00483FA8">
      <w:pPr>
        <w:pStyle w:val="ListParagraph"/>
        <w:numPr>
          <w:ilvl w:val="0"/>
          <w:numId w:val="3"/>
        </w:numPr>
        <w:ind w:left="180"/>
        <w:jc w:val="both"/>
      </w:pPr>
      <w:r w:rsidRPr="001F478C">
        <w:rPr>
          <w:b/>
          <w:bCs/>
        </w:rPr>
        <w:t>Band Joist Details:</w:t>
      </w:r>
      <w:r>
        <w:t xml:space="preserve"> Band joists supporting a ledger shall be a minimum 2-inch nominal solid sawn spruce pine fir or better lumber or a minimum 1 inch by 9 ½ inch dimensional Douglas fir or better laminated veneer lumber. Band joists must bear fully on the primary structure capable of supporting all required loads.</w:t>
      </w:r>
    </w:p>
    <w:p w14:paraId="09D07ABE" w14:textId="67ED1D55" w:rsidR="00483FA8" w:rsidRDefault="00483FA8" w:rsidP="00483FA8">
      <w:pPr>
        <w:pStyle w:val="ListParagraph"/>
        <w:numPr>
          <w:ilvl w:val="0"/>
          <w:numId w:val="3"/>
        </w:numPr>
        <w:ind w:left="180"/>
        <w:jc w:val="both"/>
      </w:pPr>
      <w:r w:rsidRPr="001F478C">
        <w:rPr>
          <w:b/>
          <w:bCs/>
        </w:rPr>
        <w:t>Ledgers to Band Joist Details</w:t>
      </w:r>
      <w:r w:rsidR="001F478C" w:rsidRPr="001F478C">
        <w:rPr>
          <w:b/>
          <w:bCs/>
        </w:rPr>
        <w:t xml:space="preserve"> (Bolts and Lag Screws)</w:t>
      </w:r>
      <w:r w:rsidRPr="001F478C">
        <w:rPr>
          <w:b/>
          <w:bCs/>
        </w:rPr>
        <w:t>:</w:t>
      </w:r>
      <w:r>
        <w:t xml:space="preserve"> Fasteners used in deck ledger connections in accordance with Table R507.9.1.3(1) shall be hot-dipped galvanized or stainless steel and shall be installed in accordance with Table R507.9.1.3(2) and Figures R507.9.1.3(1) and R507.9.1.3(2)</w:t>
      </w:r>
    </w:p>
    <w:p w14:paraId="0670C1ED" w14:textId="3619AC2C" w:rsidR="00483FA8" w:rsidRDefault="00483FA8" w:rsidP="00483FA8">
      <w:pPr>
        <w:pStyle w:val="ListParagraph"/>
        <w:ind w:left="180"/>
        <w:jc w:val="center"/>
      </w:pPr>
      <w:r>
        <w:rPr>
          <w:noProof/>
        </w:rPr>
        <w:lastRenderedPageBreak/>
        <w:drawing>
          <wp:inline distT="0" distB="0" distL="0" distR="0" wp14:anchorId="066A4DDA" wp14:editId="4EBC9C73">
            <wp:extent cx="5172075" cy="198575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 deck ledger connections crop 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05973" cy="1998765"/>
                    </a:xfrm>
                    <a:prstGeom prst="rect">
                      <a:avLst/>
                    </a:prstGeom>
                  </pic:spPr>
                </pic:pic>
              </a:graphicData>
            </a:graphic>
          </wp:inline>
        </w:drawing>
      </w:r>
    </w:p>
    <w:p w14:paraId="06684236" w14:textId="77777777" w:rsidR="00C73D93" w:rsidRDefault="00C73D93" w:rsidP="00C73D93">
      <w:pPr>
        <w:pStyle w:val="ListParagraph"/>
        <w:numPr>
          <w:ilvl w:val="0"/>
          <w:numId w:val="3"/>
        </w:numPr>
        <w:ind w:left="180"/>
        <w:jc w:val="both"/>
      </w:pPr>
      <w:r w:rsidRPr="00710218">
        <w:rPr>
          <w:b/>
          <w:bCs/>
        </w:rPr>
        <w:t>Ledgers to Band Joist Details:</w:t>
      </w:r>
      <w:r>
        <w:t xml:space="preserve"> Fasteners used in deck ledger connections in accordance with Table R507.9.1.3(1) shall be hot-dipped galvanized or stainless steel and shall be installed in accordance with Table R507.9.1.3(2) and Figures R507.9.1.3(1) and R507.9.1.3(2)</w:t>
      </w:r>
    </w:p>
    <w:p w14:paraId="51CF3DB0" w14:textId="0510492A" w:rsidR="000E6A5F" w:rsidRDefault="00483FA8" w:rsidP="00483FA8">
      <w:pPr>
        <w:pStyle w:val="ListParagraph"/>
        <w:ind w:left="180"/>
        <w:jc w:val="center"/>
      </w:pPr>
      <w:r>
        <w:rPr>
          <w:noProof/>
        </w:rPr>
        <w:drawing>
          <wp:inline distT="0" distB="0" distL="0" distR="0" wp14:anchorId="27D882B0" wp14:editId="66F86FBD">
            <wp:extent cx="6433076" cy="3862316"/>
            <wp:effectExtent l="0" t="0" r="0" b="0"/>
            <wp:docPr id="20" name="Picture 2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 deck lag screws and bolts in a ledger crop 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89247" cy="3896040"/>
                    </a:xfrm>
                    <a:prstGeom prst="rect">
                      <a:avLst/>
                    </a:prstGeom>
                  </pic:spPr>
                </pic:pic>
              </a:graphicData>
            </a:graphic>
          </wp:inline>
        </w:drawing>
      </w:r>
    </w:p>
    <w:p w14:paraId="0A520E6B" w14:textId="77777777" w:rsidR="000E6A5F" w:rsidRDefault="000E6A5F" w:rsidP="00483FA8">
      <w:pPr>
        <w:pStyle w:val="ListParagraph"/>
        <w:ind w:left="180"/>
        <w:jc w:val="center"/>
      </w:pPr>
    </w:p>
    <w:p w14:paraId="280E0E91" w14:textId="16BF596A" w:rsidR="00710218" w:rsidRDefault="00483FA8" w:rsidP="00710218">
      <w:pPr>
        <w:pStyle w:val="ListParagraph"/>
        <w:ind w:left="180"/>
        <w:jc w:val="center"/>
      </w:pPr>
      <w:r>
        <w:rPr>
          <w:noProof/>
        </w:rPr>
        <w:lastRenderedPageBreak/>
        <w:drawing>
          <wp:inline distT="0" distB="0" distL="0" distR="0" wp14:anchorId="3C533576" wp14:editId="0E3EDD47">
            <wp:extent cx="5950424" cy="2995295"/>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 deck lags and screws in band joists crop 13.jpg"/>
                    <pic:cNvPicPr/>
                  </pic:nvPicPr>
                  <pic:blipFill>
                    <a:blip r:embed="rId20">
                      <a:extLst>
                        <a:ext uri="{28A0092B-C50C-407E-A947-70E740481C1C}">
                          <a14:useLocalDpi xmlns:a14="http://schemas.microsoft.com/office/drawing/2010/main" val="0"/>
                        </a:ext>
                      </a:extLst>
                    </a:blip>
                    <a:stretch>
                      <a:fillRect/>
                    </a:stretch>
                  </pic:blipFill>
                  <pic:spPr>
                    <a:xfrm>
                      <a:off x="0" y="0"/>
                      <a:ext cx="6110424" cy="3075835"/>
                    </a:xfrm>
                    <a:prstGeom prst="rect">
                      <a:avLst/>
                    </a:prstGeom>
                  </pic:spPr>
                </pic:pic>
              </a:graphicData>
            </a:graphic>
          </wp:inline>
        </w:drawing>
      </w:r>
    </w:p>
    <w:p w14:paraId="45D604AF" w14:textId="14851A00" w:rsidR="00710218" w:rsidRDefault="00710218" w:rsidP="00710218">
      <w:pPr>
        <w:pStyle w:val="ListParagraph"/>
        <w:ind w:left="180"/>
        <w:jc w:val="center"/>
      </w:pPr>
    </w:p>
    <w:p w14:paraId="08FFC9A9" w14:textId="3E51905E" w:rsidR="000E6A5F" w:rsidRDefault="000E6A5F" w:rsidP="000E6A5F">
      <w:pPr>
        <w:pStyle w:val="ListParagraph"/>
        <w:numPr>
          <w:ilvl w:val="0"/>
          <w:numId w:val="3"/>
        </w:numPr>
        <w:ind w:left="0"/>
        <w:jc w:val="both"/>
      </w:pPr>
      <w:r w:rsidRPr="00710218">
        <w:rPr>
          <w:b/>
          <w:bCs/>
        </w:rPr>
        <w:t>L</w:t>
      </w:r>
      <w:r w:rsidR="005017BD" w:rsidRPr="00710218">
        <w:rPr>
          <w:b/>
          <w:bCs/>
        </w:rPr>
        <w:t>ateral Connections:</w:t>
      </w:r>
      <w:r w:rsidR="005017BD">
        <w:t xml:space="preserve"> Lateral loads shall be transferred to the ground or to a structure capable of transmitting them to the ground. Where the lateral load connection is provided in accordance with Figure R507.9.2(1), hold down tension devices shall be installed in not less than two locations per deck within 24 inches of each end of the deck. Each device shall have an allowance stress design capacity of not less than 1,500 pounds. Where the lateral location connections are provided in accordance with figure R507.9.2(2), the hold down tension devices shall be installed in not less than four locations per deck, and each device shall have an allowable stress deigns capacity of not less than 750 pounds. </w:t>
      </w:r>
    </w:p>
    <w:p w14:paraId="4AA483C6" w14:textId="6AE1F7EE" w:rsidR="000E6A5F" w:rsidRDefault="000E6A5F" w:rsidP="00483FA8">
      <w:pPr>
        <w:pStyle w:val="ListParagraph"/>
        <w:ind w:left="180"/>
        <w:jc w:val="center"/>
      </w:pPr>
      <w:r>
        <w:rPr>
          <w:noProof/>
        </w:rPr>
        <w:drawing>
          <wp:inline distT="0" distB="0" distL="0" distR="0" wp14:anchorId="1F63AE75" wp14:editId="55606A1D">
            <wp:extent cx="5545810" cy="2893326"/>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ges from 2018_ICC COMPLETE 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75416" cy="2960943"/>
                    </a:xfrm>
                    <a:prstGeom prst="rect">
                      <a:avLst/>
                    </a:prstGeom>
                  </pic:spPr>
                </pic:pic>
              </a:graphicData>
            </a:graphic>
          </wp:inline>
        </w:drawing>
      </w:r>
    </w:p>
    <w:p w14:paraId="79F14F1B" w14:textId="3974C382" w:rsidR="00C73D93" w:rsidRDefault="00C73D93" w:rsidP="00483FA8">
      <w:pPr>
        <w:pStyle w:val="ListParagraph"/>
        <w:ind w:left="180"/>
        <w:jc w:val="center"/>
      </w:pPr>
    </w:p>
    <w:p w14:paraId="4F7D2014" w14:textId="725184B6" w:rsidR="00C73D93" w:rsidRDefault="00C73D93" w:rsidP="00483FA8">
      <w:pPr>
        <w:pStyle w:val="ListParagraph"/>
        <w:ind w:left="180"/>
        <w:jc w:val="center"/>
      </w:pPr>
      <w:r>
        <w:rPr>
          <w:noProof/>
        </w:rPr>
        <w:lastRenderedPageBreak/>
        <w:drawing>
          <wp:inline distT="0" distB="0" distL="0" distR="0" wp14:anchorId="3C5D3F7D" wp14:editId="3229C2C0">
            <wp:extent cx="6212524" cy="3241344"/>
            <wp:effectExtent l="0" t="0" r="0"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ges from 2018_ICC COMPLETE 131.jpg"/>
                    <pic:cNvPicPr/>
                  </pic:nvPicPr>
                  <pic:blipFill>
                    <a:blip r:embed="rId22">
                      <a:extLst>
                        <a:ext uri="{28A0092B-C50C-407E-A947-70E740481C1C}">
                          <a14:useLocalDpi xmlns:a14="http://schemas.microsoft.com/office/drawing/2010/main" val="0"/>
                        </a:ext>
                      </a:extLst>
                    </a:blip>
                    <a:stretch>
                      <a:fillRect/>
                    </a:stretch>
                  </pic:blipFill>
                  <pic:spPr>
                    <a:xfrm>
                      <a:off x="0" y="0"/>
                      <a:ext cx="6239797" cy="3255573"/>
                    </a:xfrm>
                    <a:prstGeom prst="rect">
                      <a:avLst/>
                    </a:prstGeom>
                  </pic:spPr>
                </pic:pic>
              </a:graphicData>
            </a:graphic>
          </wp:inline>
        </w:drawing>
      </w:r>
    </w:p>
    <w:sectPr w:rsidR="00C73D93" w:rsidSect="004B7E75">
      <w:headerReference w:type="even" r:id="rId23"/>
      <w:headerReference w:type="default" r:id="rId24"/>
      <w:footerReference w:type="even" r:id="rId25"/>
      <w:footerReference w:type="default" r:id="rId26"/>
      <w:headerReference w:type="first" r:id="rId27"/>
      <w:footerReference w:type="firs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BDCD30" w14:textId="77777777" w:rsidR="009C00D0" w:rsidRDefault="009C00D0" w:rsidP="00C607A4">
      <w:pPr>
        <w:spacing w:after="0" w:line="240" w:lineRule="auto"/>
      </w:pPr>
      <w:r>
        <w:separator/>
      </w:r>
    </w:p>
  </w:endnote>
  <w:endnote w:type="continuationSeparator" w:id="0">
    <w:p w14:paraId="1E864A51" w14:textId="77777777" w:rsidR="009C00D0" w:rsidRDefault="009C00D0" w:rsidP="00C60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5D9E" w14:textId="77777777" w:rsidR="006C4A1B" w:rsidRDefault="006C4A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5CCC" w14:textId="77777777" w:rsidR="006C4A1B" w:rsidRDefault="006C4A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9F63D" w14:textId="77777777" w:rsidR="006C4A1B" w:rsidRDefault="006C4A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F9D1A8" w14:textId="77777777" w:rsidR="009C00D0" w:rsidRDefault="009C00D0" w:rsidP="00C607A4">
      <w:pPr>
        <w:spacing w:after="0" w:line="240" w:lineRule="auto"/>
      </w:pPr>
      <w:r>
        <w:separator/>
      </w:r>
    </w:p>
  </w:footnote>
  <w:footnote w:type="continuationSeparator" w:id="0">
    <w:p w14:paraId="47297116" w14:textId="77777777" w:rsidR="009C00D0" w:rsidRDefault="009C00D0" w:rsidP="00C60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39F1B" w14:textId="77777777" w:rsidR="006C4A1B" w:rsidRDefault="006C4A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B5400" w14:textId="77777777" w:rsidR="00C607A4" w:rsidRDefault="00C607A4" w:rsidP="00C607A4">
    <w:pPr>
      <w:pStyle w:val="Title"/>
      <w:ind w:left="1440"/>
    </w:pPr>
    <w:r w:rsidRPr="00430183">
      <w:rPr>
        <w:noProof/>
      </w:rPr>
      <w:drawing>
        <wp:anchor distT="0" distB="0" distL="114300" distR="114300" simplePos="0" relativeHeight="251657728" behindDoc="1" locked="0" layoutInCell="1" allowOverlap="1" wp14:anchorId="538D4404" wp14:editId="0B2C2762">
          <wp:simplePos x="0" y="0"/>
          <wp:positionH relativeFrom="column">
            <wp:posOffset>-190500</wp:posOffset>
          </wp:positionH>
          <wp:positionV relativeFrom="paragraph">
            <wp:posOffset>-19050</wp:posOffset>
          </wp:positionV>
          <wp:extent cx="1014095" cy="1333500"/>
          <wp:effectExtent l="0" t="0" r="0" b="0"/>
          <wp:wrapTight wrapText="bothSides">
            <wp:wrapPolygon edited="0">
              <wp:start x="0" y="0"/>
              <wp:lineTo x="0" y="21291"/>
              <wp:lineTo x="21100" y="21291"/>
              <wp:lineTo x="21100"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1" name="Picture 1" descr="C:\Users\astaton\Desktop\city seal.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1409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183">
      <w:t>CIT</w:t>
    </w:r>
    <w:bookmarkStart w:id="1" w:name="_GoBack"/>
    <w:bookmarkEnd w:id="1"/>
    <w:r w:rsidRPr="00430183">
      <w:t>Y OF CLEVELAND, TN DEVELOPMENT AND ENGINEERING RESIDENTIAL INSPECTION CHECKLIST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4E9E" w14:textId="77777777" w:rsidR="006C4A1B" w:rsidRDefault="006C4A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D584576"/>
    <w:multiLevelType w:val="hybridMultilevel"/>
    <w:tmpl w:val="0050891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5F228C"/>
    <w:multiLevelType w:val="hybridMultilevel"/>
    <w:tmpl w:val="3CA270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94734"/>
    <w:multiLevelType w:val="hybridMultilevel"/>
    <w:tmpl w:val="C2EA1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3C179"/>
    <w:multiLevelType w:val="hybridMultilevel"/>
    <w:tmpl w:val="91004A5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43F72AD"/>
    <w:multiLevelType w:val="hybridMultilevel"/>
    <w:tmpl w:val="69FC83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31FF5"/>
    <w:multiLevelType w:val="hybridMultilevel"/>
    <w:tmpl w:val="70084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ED39DF"/>
    <w:multiLevelType w:val="hybridMultilevel"/>
    <w:tmpl w:val="52281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8865C7"/>
    <w:multiLevelType w:val="hybridMultilevel"/>
    <w:tmpl w:val="A4EA3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B3A5CA4"/>
    <w:multiLevelType w:val="hybridMultilevel"/>
    <w:tmpl w:val="485A27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8F0420"/>
    <w:multiLevelType w:val="hybridMultilevel"/>
    <w:tmpl w:val="D7DA4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5A31FE"/>
    <w:multiLevelType w:val="hybridMultilevel"/>
    <w:tmpl w:val="15D62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3C6D53"/>
    <w:multiLevelType w:val="hybridMultilevel"/>
    <w:tmpl w:val="990CD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B32BF0"/>
    <w:multiLevelType w:val="hybridMultilevel"/>
    <w:tmpl w:val="96662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817903"/>
    <w:multiLevelType w:val="hybridMultilevel"/>
    <w:tmpl w:val="64720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ED0EAD"/>
    <w:multiLevelType w:val="hybridMultilevel"/>
    <w:tmpl w:val="AA5AE4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2F51731"/>
    <w:multiLevelType w:val="hybridMultilevel"/>
    <w:tmpl w:val="C32C1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411B54"/>
    <w:multiLevelType w:val="hybridMultilevel"/>
    <w:tmpl w:val="3A2C0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C76BE"/>
    <w:multiLevelType w:val="multilevel"/>
    <w:tmpl w:val="47F4ABD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53001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6C36BD2"/>
    <w:multiLevelType w:val="hybridMultilevel"/>
    <w:tmpl w:val="4740C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0"/>
  </w:num>
  <w:num w:numId="5">
    <w:abstractNumId w:val="11"/>
  </w:num>
  <w:num w:numId="6">
    <w:abstractNumId w:val="9"/>
  </w:num>
  <w:num w:numId="7">
    <w:abstractNumId w:val="1"/>
  </w:num>
  <w:num w:numId="8">
    <w:abstractNumId w:val="19"/>
  </w:num>
  <w:num w:numId="9">
    <w:abstractNumId w:val="13"/>
  </w:num>
  <w:num w:numId="10">
    <w:abstractNumId w:val="3"/>
  </w:num>
  <w:num w:numId="11">
    <w:abstractNumId w:val="0"/>
  </w:num>
  <w:num w:numId="12">
    <w:abstractNumId w:val="16"/>
  </w:num>
  <w:num w:numId="13">
    <w:abstractNumId w:val="2"/>
  </w:num>
  <w:num w:numId="14">
    <w:abstractNumId w:val="6"/>
  </w:num>
  <w:num w:numId="15">
    <w:abstractNumId w:val="15"/>
  </w:num>
  <w:num w:numId="16">
    <w:abstractNumId w:val="18"/>
  </w:num>
  <w:num w:numId="17">
    <w:abstractNumId w:val="8"/>
  </w:num>
  <w:num w:numId="18">
    <w:abstractNumId w:val="14"/>
  </w:num>
  <w:num w:numId="19">
    <w:abstractNumId w:val="7"/>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5AC9"/>
    <w:rsid w:val="00035C8D"/>
    <w:rsid w:val="000729B6"/>
    <w:rsid w:val="00074340"/>
    <w:rsid w:val="00094B85"/>
    <w:rsid w:val="000A116C"/>
    <w:rsid w:val="000A44FA"/>
    <w:rsid w:val="000B5A40"/>
    <w:rsid w:val="000E6A5F"/>
    <w:rsid w:val="000F47FC"/>
    <w:rsid w:val="00170304"/>
    <w:rsid w:val="0017199D"/>
    <w:rsid w:val="00184333"/>
    <w:rsid w:val="00184FDB"/>
    <w:rsid w:val="0019066F"/>
    <w:rsid w:val="001B7F01"/>
    <w:rsid w:val="001C5DA2"/>
    <w:rsid w:val="001D2E89"/>
    <w:rsid w:val="001F478C"/>
    <w:rsid w:val="00235370"/>
    <w:rsid w:val="00285FDA"/>
    <w:rsid w:val="002A0083"/>
    <w:rsid w:val="002A78E3"/>
    <w:rsid w:val="002D606E"/>
    <w:rsid w:val="002F2E95"/>
    <w:rsid w:val="0035529A"/>
    <w:rsid w:val="003910E1"/>
    <w:rsid w:val="003D19A2"/>
    <w:rsid w:val="00473660"/>
    <w:rsid w:val="00480F24"/>
    <w:rsid w:val="00483FA8"/>
    <w:rsid w:val="00494A15"/>
    <w:rsid w:val="00497535"/>
    <w:rsid w:val="004A70E7"/>
    <w:rsid w:val="004B7E75"/>
    <w:rsid w:val="004C1675"/>
    <w:rsid w:val="005017BD"/>
    <w:rsid w:val="0051521B"/>
    <w:rsid w:val="0053519C"/>
    <w:rsid w:val="006069E0"/>
    <w:rsid w:val="00640B63"/>
    <w:rsid w:val="00655939"/>
    <w:rsid w:val="00661C0D"/>
    <w:rsid w:val="006C4A1B"/>
    <w:rsid w:val="006E4369"/>
    <w:rsid w:val="00710218"/>
    <w:rsid w:val="007566B9"/>
    <w:rsid w:val="00756EAF"/>
    <w:rsid w:val="00760BEA"/>
    <w:rsid w:val="007965B3"/>
    <w:rsid w:val="007D784A"/>
    <w:rsid w:val="00801F97"/>
    <w:rsid w:val="00806FFE"/>
    <w:rsid w:val="00812A7D"/>
    <w:rsid w:val="00881ADB"/>
    <w:rsid w:val="008A02A8"/>
    <w:rsid w:val="008D5573"/>
    <w:rsid w:val="008D5AC9"/>
    <w:rsid w:val="008D7C9B"/>
    <w:rsid w:val="009C00D0"/>
    <w:rsid w:val="009F1B5E"/>
    <w:rsid w:val="00A00C4B"/>
    <w:rsid w:val="00A018DA"/>
    <w:rsid w:val="00A615AA"/>
    <w:rsid w:val="00A73E50"/>
    <w:rsid w:val="00AA2A5D"/>
    <w:rsid w:val="00AB308D"/>
    <w:rsid w:val="00AD278A"/>
    <w:rsid w:val="00B34E99"/>
    <w:rsid w:val="00B91D30"/>
    <w:rsid w:val="00BB5EC1"/>
    <w:rsid w:val="00BC38DB"/>
    <w:rsid w:val="00BE3A6F"/>
    <w:rsid w:val="00C36501"/>
    <w:rsid w:val="00C607A4"/>
    <w:rsid w:val="00C61BD1"/>
    <w:rsid w:val="00C73D93"/>
    <w:rsid w:val="00C95AA5"/>
    <w:rsid w:val="00CF4DA4"/>
    <w:rsid w:val="00D3368C"/>
    <w:rsid w:val="00DA2864"/>
    <w:rsid w:val="00DC67BD"/>
    <w:rsid w:val="00DE615E"/>
    <w:rsid w:val="00E3198A"/>
    <w:rsid w:val="00E663A7"/>
    <w:rsid w:val="00E70D28"/>
    <w:rsid w:val="00E952A2"/>
    <w:rsid w:val="00EE3A16"/>
    <w:rsid w:val="00F03F4C"/>
    <w:rsid w:val="00F24B14"/>
    <w:rsid w:val="00F80D00"/>
    <w:rsid w:val="00FE44E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C28B3"/>
  <w15:docId w15:val="{369AEA04-9CC3-4CEF-9BAA-856788AF6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B85"/>
  </w:style>
  <w:style w:type="paragraph" w:styleId="Heading2">
    <w:name w:val="heading 2"/>
    <w:basedOn w:val="Normal"/>
    <w:next w:val="Normal"/>
    <w:link w:val="Heading2Char"/>
    <w:uiPriority w:val="9"/>
    <w:unhideWhenUsed/>
    <w:qFormat/>
    <w:rsid w:val="00094B8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0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0BEA"/>
    <w:rPr>
      <w:rFonts w:ascii="Tahoma" w:hAnsi="Tahoma" w:cs="Tahoma"/>
      <w:sz w:val="16"/>
      <w:szCs w:val="16"/>
    </w:rPr>
  </w:style>
  <w:style w:type="paragraph" w:styleId="Title">
    <w:name w:val="Title"/>
    <w:basedOn w:val="Normal"/>
    <w:next w:val="Normal"/>
    <w:link w:val="TitleChar"/>
    <w:uiPriority w:val="10"/>
    <w:qFormat/>
    <w:rsid w:val="00760B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60BE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60BE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60BE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094B85"/>
    <w:rPr>
      <w:b/>
      <w:bCs/>
    </w:rPr>
  </w:style>
  <w:style w:type="table" w:styleId="TableGrid">
    <w:name w:val="Table Grid"/>
    <w:basedOn w:val="TableNormal"/>
    <w:uiPriority w:val="59"/>
    <w:rsid w:val="00094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94B85"/>
    <w:pPr>
      <w:spacing w:after="0" w:line="240" w:lineRule="auto"/>
    </w:pPr>
  </w:style>
  <w:style w:type="character" w:customStyle="1" w:styleId="Heading2Char">
    <w:name w:val="Heading 2 Char"/>
    <w:basedOn w:val="DefaultParagraphFont"/>
    <w:link w:val="Heading2"/>
    <w:uiPriority w:val="9"/>
    <w:rsid w:val="00094B85"/>
    <w:rPr>
      <w:rFonts w:asciiTheme="majorHAnsi" w:eastAsiaTheme="majorEastAsia" w:hAnsiTheme="majorHAnsi" w:cstheme="majorBidi"/>
      <w:b/>
      <w:bCs/>
      <w:color w:val="4F81BD" w:themeColor="accent1"/>
      <w:sz w:val="26"/>
      <w:szCs w:val="26"/>
    </w:rPr>
  </w:style>
  <w:style w:type="character" w:styleId="IntenseEmphasis">
    <w:name w:val="Intense Emphasis"/>
    <w:basedOn w:val="DefaultParagraphFont"/>
    <w:uiPriority w:val="21"/>
    <w:qFormat/>
    <w:rsid w:val="004B7E75"/>
    <w:rPr>
      <w:b/>
      <w:bCs/>
      <w:i/>
      <w:iCs/>
      <w:color w:val="4F81BD" w:themeColor="accent1"/>
    </w:rPr>
  </w:style>
  <w:style w:type="paragraph" w:styleId="IntenseQuote">
    <w:name w:val="Intense Quote"/>
    <w:basedOn w:val="Normal"/>
    <w:next w:val="Normal"/>
    <w:link w:val="IntenseQuoteChar"/>
    <w:uiPriority w:val="30"/>
    <w:qFormat/>
    <w:rsid w:val="004B7E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B7E75"/>
    <w:rPr>
      <w:b/>
      <w:bCs/>
      <w:i/>
      <w:iCs/>
      <w:color w:val="4F81BD" w:themeColor="accent1"/>
    </w:rPr>
  </w:style>
  <w:style w:type="paragraph" w:styleId="ListParagraph">
    <w:name w:val="List Paragraph"/>
    <w:basedOn w:val="Normal"/>
    <w:uiPriority w:val="34"/>
    <w:qFormat/>
    <w:rsid w:val="002D606E"/>
    <w:pPr>
      <w:ind w:left="720"/>
      <w:contextualSpacing/>
    </w:pPr>
  </w:style>
  <w:style w:type="paragraph" w:styleId="Header">
    <w:name w:val="header"/>
    <w:basedOn w:val="Normal"/>
    <w:link w:val="HeaderChar"/>
    <w:uiPriority w:val="99"/>
    <w:unhideWhenUsed/>
    <w:rsid w:val="00C607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7A4"/>
  </w:style>
  <w:style w:type="paragraph" w:styleId="Footer">
    <w:name w:val="footer"/>
    <w:basedOn w:val="Normal"/>
    <w:link w:val="FooterChar"/>
    <w:uiPriority w:val="99"/>
    <w:unhideWhenUsed/>
    <w:rsid w:val="00C60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7A4"/>
  </w:style>
  <w:style w:type="paragraph" w:customStyle="1" w:styleId="Default">
    <w:name w:val="Default"/>
    <w:rsid w:val="006E4369"/>
    <w:pPr>
      <w:widowControl w:val="0"/>
      <w:autoSpaceDE w:val="0"/>
      <w:autoSpaceDN w:val="0"/>
      <w:adjustRightInd w:val="0"/>
      <w:spacing w:after="0" w:line="240" w:lineRule="auto"/>
    </w:pPr>
    <w:rPr>
      <w:rFonts w:ascii="Cambria" w:eastAsiaTheme="minorEastAsia" w:hAnsi="Cambria" w:cs="Cambria"/>
      <w:color w:val="000000"/>
      <w:sz w:val="24"/>
      <w:szCs w:val="24"/>
    </w:rPr>
  </w:style>
  <w:style w:type="paragraph" w:customStyle="1" w:styleId="CM7">
    <w:name w:val="CM7"/>
    <w:basedOn w:val="Default"/>
    <w:next w:val="Default"/>
    <w:uiPriority w:val="99"/>
    <w:rsid w:val="006E4369"/>
    <w:rPr>
      <w:rFonts w:cstheme="minorBidi"/>
      <w:color w:val="auto"/>
    </w:rPr>
  </w:style>
  <w:style w:type="paragraph" w:customStyle="1" w:styleId="CM8">
    <w:name w:val="CM8"/>
    <w:basedOn w:val="Default"/>
    <w:next w:val="Default"/>
    <w:uiPriority w:val="99"/>
    <w:rsid w:val="006E4369"/>
    <w:rPr>
      <w:rFonts w:cstheme="minorBidi"/>
      <w:color w:val="auto"/>
    </w:rPr>
  </w:style>
  <w:style w:type="paragraph" w:customStyle="1" w:styleId="CM10">
    <w:name w:val="CM10"/>
    <w:basedOn w:val="Default"/>
    <w:next w:val="Default"/>
    <w:uiPriority w:val="99"/>
    <w:rsid w:val="00AB308D"/>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E390A-DE1C-4F71-BEB5-BAEDC9DF0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5727</TotalTime>
  <Pages>10</Pages>
  <Words>886</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Tina Rymer</dc:creator>
  <cp:lastModifiedBy>Bryan Turner</cp:lastModifiedBy>
  <cp:revision>10</cp:revision>
  <cp:lastPrinted>2020-03-02T19:24:00Z</cp:lastPrinted>
  <dcterms:created xsi:type="dcterms:W3CDTF">2020-02-28T21:16:00Z</dcterms:created>
  <dcterms:modified xsi:type="dcterms:W3CDTF">2020-07-31T14:16:00Z</dcterms:modified>
</cp:coreProperties>
</file>