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920" w:right="382" w:firstLine="0"/>
        <w:jc w:val="left"/>
        <w:rPr>
          <w:rFonts w:ascii="Cambria"/>
          <w:sz w:val="52"/>
        </w:rPr>
      </w:pPr>
      <w:r>
        <w:rPr/>
        <w:pict>
          <v:shape style="position:absolute;margin-left:106.5pt;margin-top:99.925125pt;width:471pt;height:.1pt;mso-position-horizontal-relative:page;mso-position-vertical-relative:paragraph;z-index:-251658240;mso-wrap-distance-left:0;mso-wrap-distance-right:0" coordorigin="2130,1999" coordsize="9420,0" path="m2130,1999l11550,1999e" filled="false" stroked="true" strokeweight=".95996pt" strokecolor="#4f82bd">
            <v:path arrowok="t"/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223265</wp:posOffset>
            </wp:positionH>
            <wp:positionV relativeFrom="paragraph">
              <wp:posOffset>131382</wp:posOffset>
            </wp:positionV>
            <wp:extent cx="955547" cy="95097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17365D"/>
          <w:sz w:val="52"/>
        </w:rPr>
        <w:t>CITY OF CLEVELAND, TN DEVELOPMENT AND ENGINEERING RESIDENTIAL INSPECTION CHECKLIST</w:t>
      </w:r>
    </w:p>
    <w:p>
      <w:pPr>
        <w:pStyle w:val="BodyText"/>
        <w:spacing w:before="3"/>
        <w:ind w:left="0" w:firstLine="0"/>
        <w:rPr>
          <w:rFonts w:ascii="Cambria"/>
          <w:sz w:val="18"/>
        </w:rPr>
      </w:pPr>
    </w:p>
    <w:p>
      <w:pPr>
        <w:spacing w:line="276" w:lineRule="auto" w:before="56"/>
        <w:ind w:left="480" w:right="138" w:firstLine="0"/>
        <w:jc w:val="both"/>
        <w:rPr>
          <w:i/>
          <w:sz w:val="22"/>
        </w:rPr>
      </w:pPr>
      <w:r>
        <w:rPr>
          <w:i/>
          <w:sz w:val="22"/>
        </w:rPr>
        <w:t>Please note: This list is not inclusive of all items that may require inspection. Failure to be ready for a requested </w:t>
      </w:r>
      <w:r>
        <w:rPr>
          <w:i/>
          <w:sz w:val="22"/>
        </w:rPr>
        <w:t>inspection may result in a re‐inspection fee. In a Special Flood Hazard Area, all provisions of the municipal code and Flood‐Resistant construction must 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followed.</w:t>
      </w:r>
    </w:p>
    <w:p>
      <w:pPr>
        <w:pStyle w:val="BodyText"/>
        <w:spacing w:before="0"/>
        <w:ind w:left="0" w:firstLine="0"/>
        <w:rPr>
          <w:i/>
        </w:rPr>
      </w:pPr>
    </w:p>
    <w:p>
      <w:pPr>
        <w:pStyle w:val="BodyText"/>
        <w:spacing w:before="4"/>
        <w:ind w:left="0" w:firstLine="0"/>
        <w:rPr>
          <w:i/>
          <w:sz w:val="17"/>
        </w:rPr>
      </w:pPr>
    </w:p>
    <w:p>
      <w:pPr>
        <w:spacing w:before="0"/>
        <w:ind w:left="480" w:right="0" w:firstLine="0"/>
        <w:jc w:val="both"/>
        <w:rPr>
          <w:rFonts w:ascii="Cambria"/>
          <w:b/>
          <w:sz w:val="48"/>
        </w:rPr>
      </w:pPr>
      <w:r>
        <w:rPr>
          <w:rFonts w:ascii="Cambria"/>
          <w:b/>
          <w:color w:val="1F497C"/>
          <w:sz w:val="48"/>
        </w:rPr>
        <w:t>FUEL / GAS PIPING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475" w:after="0"/>
        <w:ind w:left="840" w:right="0" w:hanging="360"/>
        <w:jc w:val="left"/>
        <w:rPr>
          <w:sz w:val="22"/>
        </w:rPr>
      </w:pPr>
      <w:r>
        <w:rPr>
          <w:sz w:val="22"/>
        </w:rPr>
        <w:t>The main shutoff is accessible and ahead of the meter.</w:t>
      </w:r>
      <w:r>
        <w:rPr>
          <w:spacing w:val="40"/>
          <w:sz w:val="22"/>
        </w:rPr>
        <w:t> </w:t>
      </w:r>
      <w:r>
        <w:rPr>
          <w:sz w:val="22"/>
        </w:rPr>
        <w:t>(G2420.2)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34" w:after="0"/>
        <w:ind w:left="840" w:right="0" w:hanging="361"/>
        <w:jc w:val="left"/>
        <w:rPr>
          <w:sz w:val="22"/>
        </w:rPr>
      </w:pPr>
      <w:r>
        <w:rPr>
          <w:sz w:val="22"/>
        </w:rPr>
        <w:t>All pipes are properly supported.</w:t>
      </w:r>
      <w:r>
        <w:rPr>
          <w:spacing w:val="49"/>
          <w:sz w:val="22"/>
        </w:rPr>
        <w:t> </w:t>
      </w:r>
      <w:r>
        <w:rPr>
          <w:sz w:val="22"/>
        </w:rPr>
        <w:t>(G2418.1)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35" w:after="0"/>
        <w:ind w:left="840" w:right="0" w:hanging="361"/>
        <w:jc w:val="left"/>
        <w:rPr>
          <w:sz w:val="22"/>
        </w:rPr>
      </w:pPr>
      <w:r>
        <w:rPr>
          <w:sz w:val="22"/>
        </w:rPr>
        <w:t>Gas piping is sized per tables.</w:t>
      </w:r>
      <w:r>
        <w:rPr>
          <w:spacing w:val="-1"/>
          <w:sz w:val="22"/>
        </w:rPr>
        <w:t> </w:t>
      </w:r>
      <w:r>
        <w:rPr>
          <w:sz w:val="22"/>
        </w:rPr>
        <w:t>(G2413.4)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33" w:after="0"/>
        <w:ind w:left="840" w:right="0" w:hanging="361"/>
        <w:jc w:val="left"/>
        <w:rPr>
          <w:sz w:val="22"/>
        </w:rPr>
      </w:pPr>
      <w:r>
        <w:rPr>
          <w:sz w:val="22"/>
        </w:rPr>
        <w:t>All pipe must be new or previously used for gas piping only.</w:t>
      </w:r>
      <w:r>
        <w:rPr>
          <w:spacing w:val="-9"/>
          <w:sz w:val="22"/>
        </w:rPr>
        <w:t> </w:t>
      </w:r>
      <w:r>
        <w:rPr>
          <w:sz w:val="22"/>
        </w:rPr>
        <w:t>(G2414.2)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60" w:lineRule="auto" w:before="135" w:after="0"/>
        <w:ind w:left="839" w:right="137" w:hanging="360"/>
        <w:jc w:val="left"/>
        <w:rPr>
          <w:sz w:val="22"/>
        </w:rPr>
      </w:pPr>
      <w:r>
        <w:rPr>
          <w:sz w:val="22"/>
        </w:rPr>
        <w:t>No gas pipe shall run through air ducts, chimneys, vents, plenums, clothes chutes, dumbwaiters, elevator shafts or through adjoining townhome party walls.</w:t>
      </w:r>
      <w:r>
        <w:rPr>
          <w:spacing w:val="-3"/>
          <w:sz w:val="22"/>
        </w:rPr>
        <w:t> </w:t>
      </w:r>
      <w:r>
        <w:rPr>
          <w:sz w:val="22"/>
        </w:rPr>
        <w:t>(G2415.3)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68" w:lineRule="exact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Under floor or outdoor piping is a minimum 3 ½ inches above ground or roof.</w:t>
      </w:r>
      <w:r>
        <w:rPr>
          <w:spacing w:val="-12"/>
          <w:sz w:val="22"/>
        </w:rPr>
        <w:t> </w:t>
      </w:r>
      <w:r>
        <w:rPr>
          <w:sz w:val="22"/>
        </w:rPr>
        <w:t>(G2415.9)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35" w:after="0"/>
        <w:ind w:left="840" w:right="0" w:hanging="361"/>
        <w:jc w:val="left"/>
        <w:rPr>
          <w:sz w:val="22"/>
        </w:rPr>
      </w:pPr>
      <w:r>
        <w:rPr>
          <w:sz w:val="22"/>
        </w:rPr>
        <w:t>Piping other than steel pipe requires nail plate protection if less than 1 and ½ inches from stud face.</w:t>
      </w:r>
      <w:r>
        <w:rPr>
          <w:spacing w:val="-27"/>
          <w:sz w:val="22"/>
        </w:rPr>
        <w:t> </w:t>
      </w:r>
      <w:r>
        <w:rPr>
          <w:sz w:val="22"/>
        </w:rPr>
        <w:t>(G2415.7)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60" w:lineRule="auto" w:before="134" w:after="0"/>
        <w:ind w:left="840" w:right="139" w:hanging="361"/>
        <w:jc w:val="left"/>
        <w:rPr>
          <w:sz w:val="22"/>
        </w:rPr>
      </w:pPr>
      <w:r>
        <w:rPr>
          <w:sz w:val="22"/>
        </w:rPr>
        <w:t>Ferrous metal piping exposed in external locations is protected from corrosion in a manner satisfactory to the code official.</w:t>
      </w:r>
      <w:r>
        <w:rPr>
          <w:spacing w:val="-2"/>
          <w:sz w:val="22"/>
        </w:rPr>
        <w:t> </w:t>
      </w:r>
      <w:r>
        <w:rPr>
          <w:sz w:val="22"/>
        </w:rPr>
        <w:t>(G2415.11)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68" w:lineRule="exact" w:before="0" w:after="0"/>
        <w:ind w:left="840" w:right="0" w:hanging="361"/>
        <w:jc w:val="left"/>
        <w:rPr>
          <w:sz w:val="22"/>
        </w:rPr>
      </w:pPr>
      <w:r>
        <w:rPr>
          <w:sz w:val="22"/>
        </w:rPr>
        <w:t>The use of steel (galvanized) or black pipe is okay.</w:t>
      </w:r>
      <w:r>
        <w:rPr>
          <w:spacing w:val="-4"/>
          <w:sz w:val="22"/>
        </w:rPr>
        <w:t> </w:t>
      </w:r>
      <w:r>
        <w:rPr>
          <w:sz w:val="22"/>
        </w:rPr>
        <w:t>(G2414.4.2)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35" w:after="0"/>
        <w:ind w:left="840" w:right="0" w:hanging="361"/>
        <w:jc w:val="left"/>
        <w:rPr>
          <w:sz w:val="22"/>
        </w:rPr>
      </w:pPr>
      <w:r>
        <w:rPr>
          <w:sz w:val="22"/>
        </w:rPr>
        <w:t>Ends of pipe are deburred.</w:t>
      </w:r>
      <w:r>
        <w:rPr>
          <w:spacing w:val="-1"/>
          <w:sz w:val="22"/>
        </w:rPr>
        <w:t> </w:t>
      </w:r>
      <w:r>
        <w:rPr>
          <w:sz w:val="22"/>
        </w:rPr>
        <w:t>(G2414.7)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35" w:after="0"/>
        <w:ind w:left="840" w:right="0" w:hanging="361"/>
        <w:jc w:val="left"/>
        <w:rPr>
          <w:sz w:val="22"/>
        </w:rPr>
      </w:pPr>
      <w:r>
        <w:rPr>
          <w:sz w:val="22"/>
        </w:rPr>
        <w:t>Cast‐iron pipe may not be used for gas.</w:t>
      </w:r>
      <w:r>
        <w:rPr>
          <w:spacing w:val="-4"/>
          <w:sz w:val="22"/>
        </w:rPr>
        <w:t> </w:t>
      </w:r>
      <w:r>
        <w:rPr>
          <w:sz w:val="22"/>
        </w:rPr>
        <w:t>(G2414.4.1)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33" w:after="0"/>
        <w:ind w:left="840" w:right="0" w:hanging="361"/>
        <w:jc w:val="left"/>
        <w:rPr>
          <w:sz w:val="22"/>
        </w:rPr>
      </w:pPr>
      <w:r>
        <w:rPr>
          <w:sz w:val="22"/>
        </w:rPr>
        <w:t>Except for black steel pipe, exposed piping is identified by a yellow label marked “Gas” in black letters.</w:t>
      </w:r>
      <w:r>
        <w:rPr>
          <w:spacing w:val="-31"/>
          <w:sz w:val="22"/>
        </w:rPr>
        <w:t> </w:t>
      </w:r>
      <w:r>
        <w:rPr>
          <w:sz w:val="22"/>
        </w:rPr>
        <w:t>(G2414.10)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35" w:after="0"/>
        <w:ind w:left="840" w:right="0" w:hanging="361"/>
        <w:jc w:val="left"/>
        <w:rPr>
          <w:sz w:val="22"/>
        </w:rPr>
      </w:pPr>
      <w:r>
        <w:rPr>
          <w:sz w:val="22"/>
        </w:rPr>
        <w:t>A Gas shut off valve (S.O.V.) is required outside each building.</w:t>
      </w:r>
      <w:r>
        <w:rPr>
          <w:spacing w:val="-8"/>
          <w:sz w:val="22"/>
        </w:rPr>
        <w:t> </w:t>
      </w:r>
      <w:r>
        <w:rPr>
          <w:sz w:val="22"/>
        </w:rPr>
        <w:t>(G2420.3)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34" w:after="0"/>
        <w:ind w:left="840" w:right="0" w:hanging="361"/>
        <w:jc w:val="left"/>
        <w:rPr>
          <w:sz w:val="22"/>
        </w:rPr>
      </w:pPr>
      <w:r>
        <w:rPr>
          <w:sz w:val="22"/>
        </w:rPr>
        <w:t>A Gas S.O.V. is required within 6’ of appliances.</w:t>
      </w:r>
      <w:r>
        <w:rPr>
          <w:spacing w:val="-5"/>
          <w:sz w:val="22"/>
        </w:rPr>
        <w:t> </w:t>
      </w:r>
      <w:r>
        <w:rPr>
          <w:sz w:val="22"/>
        </w:rPr>
        <w:t>(G2420.5)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60" w:lineRule="auto" w:before="134" w:after="0"/>
        <w:ind w:left="840" w:right="139" w:hanging="360"/>
        <w:jc w:val="left"/>
        <w:rPr>
          <w:sz w:val="22"/>
        </w:rPr>
      </w:pPr>
      <w:r>
        <w:rPr>
          <w:sz w:val="22"/>
        </w:rPr>
        <w:t>Elevate appliance ignition source 18” above floor in garages. </w:t>
      </w:r>
      <w:r>
        <w:rPr>
          <w:b/>
          <w:sz w:val="22"/>
        </w:rPr>
        <w:t>Exception: Elevation of the ignition source is not required for appliances that are listed as </w:t>
      </w:r>
      <w:r>
        <w:rPr>
          <w:b/>
          <w:sz w:val="22"/>
          <w:u w:val="single"/>
        </w:rPr>
        <w:t>flammable vapor ignition resistant</w:t>
      </w:r>
      <w:r>
        <w:rPr>
          <w:b/>
          <w:sz w:val="22"/>
        </w:rPr>
        <w:t>. </w:t>
      </w:r>
      <w:r>
        <w:rPr>
          <w:sz w:val="22"/>
        </w:rPr>
        <w:t>(M13207.3 &amp;</w:t>
      </w:r>
      <w:r>
        <w:rPr>
          <w:spacing w:val="-9"/>
          <w:sz w:val="22"/>
        </w:rPr>
        <w:t> </w:t>
      </w:r>
      <w:r>
        <w:rPr>
          <w:sz w:val="22"/>
        </w:rPr>
        <w:t>G2408.2)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40" w:right="0" w:hanging="360"/>
        <w:jc w:val="left"/>
        <w:rPr>
          <w:sz w:val="22"/>
        </w:rPr>
      </w:pPr>
      <w:r>
        <w:rPr>
          <w:sz w:val="22"/>
        </w:rPr>
        <w:t>Protection from motor vehicle impact for garage appliances is required.</w:t>
      </w:r>
      <w:r>
        <w:rPr>
          <w:spacing w:val="-8"/>
          <w:sz w:val="22"/>
        </w:rPr>
        <w:t> </w:t>
      </w:r>
      <w:r>
        <w:rPr>
          <w:sz w:val="22"/>
        </w:rPr>
        <w:t>(G2408.3)</w:t>
      </w:r>
    </w:p>
    <w:sectPr>
      <w:type w:val="continuous"/>
      <w:pgSz w:w="12240" w:h="15840"/>
      <w:pgMar w:top="640" w:bottom="280" w:left="2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alibri" w:hAnsi="Calibri" w:eastAsia="Calibri" w:cs="Calibri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8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35"/>
      <w:ind w:left="840" w:hanging="361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35"/>
      <w:ind w:left="840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bturner</dc:creator>
  <dc:title>Microsoft Word - GAS FUEL PIPING INSPECTION CHECKLIST</dc:title>
  <dcterms:created xsi:type="dcterms:W3CDTF">2020-07-31T15:40:14Z</dcterms:created>
  <dcterms:modified xsi:type="dcterms:W3CDTF">2020-07-31T15:40:14Z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2020-07-31T00:00:00Z</vt:filetime>
  </property>
</Properties>
</file>