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E3845" w14:textId="77777777" w:rsidR="007F0C1C" w:rsidRDefault="00F5158C">
      <w:pPr>
        <w:spacing w:before="80"/>
        <w:ind w:left="1920" w:right="502"/>
        <w:rPr>
          <w:rFonts w:ascii="Cambria"/>
          <w:sz w:val="52"/>
        </w:rPr>
      </w:pPr>
      <w:r>
        <w:rPr>
          <w:noProof/>
        </w:rPr>
        <w:drawing>
          <wp:anchor distT="0" distB="0" distL="0" distR="0" simplePos="0" relativeHeight="251657728" behindDoc="0" locked="0" layoutInCell="1" allowOverlap="1" wp14:anchorId="52032006" wp14:editId="708E2855">
            <wp:simplePos x="0" y="0"/>
            <wp:positionH relativeFrom="page">
              <wp:posOffset>239245</wp:posOffset>
            </wp:positionH>
            <wp:positionV relativeFrom="paragraph">
              <wp:posOffset>3175</wp:posOffset>
            </wp:positionV>
            <wp:extent cx="1013610" cy="133336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5389" cy="1348864"/>
                    </a:xfrm>
                    <a:prstGeom prst="rect">
                      <a:avLst/>
                    </a:prstGeom>
                  </pic:spPr>
                </pic:pic>
              </a:graphicData>
            </a:graphic>
            <wp14:sizeRelH relativeFrom="margin">
              <wp14:pctWidth>0</wp14:pctWidth>
            </wp14:sizeRelH>
            <wp14:sizeRelV relativeFrom="margin">
              <wp14:pctHeight>0</wp14:pctHeight>
            </wp14:sizeRelV>
          </wp:anchor>
        </w:drawing>
      </w:r>
      <w:r>
        <w:pict w14:anchorId="433EF50A">
          <v:shape id="_x0000_s1026" style="position:absolute;left:0;text-align:left;margin-left:106.5pt;margin-top:99.95pt;width:471pt;height:.1pt;z-index:-251657728;mso-wrap-distance-left:0;mso-wrap-distance-right:0;mso-position-horizontal-relative:page;mso-position-vertical-relative:text" coordorigin="2130,1999" coordsize="9420,0" path="m2130,1999r9420,e" filled="f" strokecolor="#4f82bd" strokeweight=".33864mm">
            <v:path arrowok="t"/>
            <w10:wrap type="topAndBottom" anchorx="page"/>
          </v:shape>
        </w:pict>
      </w:r>
      <w:r>
        <w:rPr>
          <w:rFonts w:ascii="Cambria"/>
          <w:color w:val="17365D"/>
          <w:sz w:val="52"/>
        </w:rPr>
        <w:t>CITY OF CLEVELAND, TN DEVELOPMENT AND ENGINEERING RESIDENTIAL INSPECTION CHECKLIST</w:t>
      </w:r>
    </w:p>
    <w:p w14:paraId="2AF16E3C" w14:textId="77777777" w:rsidR="007F0C1C" w:rsidRDefault="007F0C1C">
      <w:pPr>
        <w:pStyle w:val="BodyText"/>
        <w:spacing w:before="3"/>
        <w:ind w:left="0" w:firstLine="0"/>
        <w:jc w:val="left"/>
        <w:rPr>
          <w:rFonts w:ascii="Cambria"/>
          <w:sz w:val="18"/>
        </w:rPr>
      </w:pPr>
    </w:p>
    <w:p w14:paraId="0B1EAC00" w14:textId="77777777" w:rsidR="007F0C1C" w:rsidRDefault="00F5158C">
      <w:pPr>
        <w:spacing w:before="56" w:line="276" w:lineRule="auto"/>
        <w:ind w:left="299" w:right="258"/>
        <w:jc w:val="both"/>
        <w:rPr>
          <w:i/>
        </w:rPr>
      </w:pPr>
      <w:r>
        <w:rPr>
          <w:i/>
        </w:rPr>
        <w:t>Please note: This list is not inclusive of all items that may require inspection. Failure to be ready for a requested inspection may result in a re‐inspection fee. In a Special Flood Hazard Area, all provisions of the municipal code and Flood‐Resistant con</w:t>
      </w:r>
      <w:r>
        <w:rPr>
          <w:i/>
        </w:rPr>
        <w:t>struction must be followed.</w:t>
      </w:r>
    </w:p>
    <w:p w14:paraId="32B928F5" w14:textId="77777777" w:rsidR="007F0C1C" w:rsidRDefault="007F0C1C">
      <w:pPr>
        <w:pStyle w:val="BodyText"/>
        <w:spacing w:before="4"/>
        <w:ind w:left="0" w:firstLine="0"/>
        <w:jc w:val="left"/>
        <w:rPr>
          <w:i/>
          <w:sz w:val="16"/>
        </w:rPr>
      </w:pPr>
    </w:p>
    <w:p w14:paraId="0465183F" w14:textId="77777777" w:rsidR="007F0C1C" w:rsidRDefault="00F5158C">
      <w:pPr>
        <w:ind w:left="300"/>
        <w:rPr>
          <w:rFonts w:ascii="Cambria"/>
          <w:b/>
          <w:sz w:val="48"/>
        </w:rPr>
      </w:pPr>
      <w:r>
        <w:rPr>
          <w:rFonts w:ascii="Cambria"/>
          <w:b/>
          <w:color w:val="1F497C"/>
          <w:sz w:val="48"/>
        </w:rPr>
        <w:t>FOOTINGS:</w:t>
      </w:r>
    </w:p>
    <w:p w14:paraId="355FE92D" w14:textId="77777777" w:rsidR="007F0C1C" w:rsidRDefault="00F5158C">
      <w:pPr>
        <w:spacing w:before="269"/>
        <w:ind w:left="300"/>
        <w:rPr>
          <w:b/>
          <w:sz w:val="32"/>
        </w:rPr>
      </w:pPr>
      <w:r>
        <w:rPr>
          <w:b/>
          <w:sz w:val="32"/>
        </w:rPr>
        <w:t>REQUIREMENT AND CODE SECTION OR REFERENCE</w:t>
      </w:r>
    </w:p>
    <w:p w14:paraId="3B813758" w14:textId="77777777" w:rsidR="007F0C1C" w:rsidRDefault="00F5158C">
      <w:pPr>
        <w:spacing w:before="258"/>
        <w:ind w:left="300"/>
        <w:rPr>
          <w:b/>
          <w:sz w:val="28"/>
        </w:rPr>
      </w:pPr>
      <w:r>
        <w:rPr>
          <w:b/>
          <w:sz w:val="28"/>
        </w:rPr>
        <w:t>Contact the Development and Engineering office for footing specifications within a flood zone.</w:t>
      </w:r>
    </w:p>
    <w:p w14:paraId="6734F632" w14:textId="77777777" w:rsidR="007F0C1C" w:rsidRDefault="007F0C1C">
      <w:pPr>
        <w:pStyle w:val="BodyText"/>
        <w:spacing w:before="8"/>
        <w:ind w:left="0" w:firstLine="0"/>
        <w:jc w:val="left"/>
        <w:rPr>
          <w:b/>
          <w:sz w:val="20"/>
        </w:rPr>
      </w:pPr>
    </w:p>
    <w:p w14:paraId="75D5C416" w14:textId="77777777" w:rsidR="007F0C1C" w:rsidRDefault="00F5158C">
      <w:pPr>
        <w:pStyle w:val="ListParagraph"/>
        <w:numPr>
          <w:ilvl w:val="0"/>
          <w:numId w:val="1"/>
        </w:numPr>
        <w:tabs>
          <w:tab w:val="left" w:pos="660"/>
        </w:tabs>
      </w:pPr>
      <w:r>
        <w:t>Job address is posted in a visible location. (IRC</w:t>
      </w:r>
      <w:r>
        <w:rPr>
          <w:spacing w:val="-3"/>
        </w:rPr>
        <w:t xml:space="preserve"> </w:t>
      </w:r>
      <w:r>
        <w:t>R319.1)</w:t>
      </w:r>
    </w:p>
    <w:p w14:paraId="24D07DB9" w14:textId="77777777" w:rsidR="007F0C1C" w:rsidRDefault="00F5158C">
      <w:pPr>
        <w:pStyle w:val="ListParagraph"/>
        <w:numPr>
          <w:ilvl w:val="0"/>
          <w:numId w:val="1"/>
        </w:numPr>
        <w:tabs>
          <w:tab w:val="left" w:pos="661"/>
        </w:tabs>
        <w:spacing w:before="135"/>
        <w:ind w:hanging="361"/>
      </w:pPr>
      <w:r>
        <w:t>Sanitary facilities f</w:t>
      </w:r>
      <w:r>
        <w:t>or workers on site. (IBC 3305.1) (IPC</w:t>
      </w:r>
      <w:r>
        <w:rPr>
          <w:spacing w:val="-7"/>
        </w:rPr>
        <w:t xml:space="preserve"> </w:t>
      </w:r>
      <w:r>
        <w:t>311.1)</w:t>
      </w:r>
    </w:p>
    <w:p w14:paraId="6D73F440" w14:textId="77777777" w:rsidR="007F0C1C" w:rsidRDefault="00F5158C">
      <w:pPr>
        <w:pStyle w:val="ListParagraph"/>
        <w:numPr>
          <w:ilvl w:val="0"/>
          <w:numId w:val="1"/>
        </w:numPr>
        <w:tabs>
          <w:tab w:val="left" w:pos="661"/>
        </w:tabs>
        <w:spacing w:before="134"/>
        <w:ind w:hanging="361"/>
        <w:jc w:val="both"/>
      </w:pPr>
      <w:r>
        <w:t>Construction exit is installed and all required erosion control measures are in</w:t>
      </w:r>
      <w:r>
        <w:rPr>
          <w:spacing w:val="-8"/>
        </w:rPr>
        <w:t xml:space="preserve"> </w:t>
      </w:r>
      <w:r>
        <w:t>place.</w:t>
      </w:r>
    </w:p>
    <w:p w14:paraId="146E377C" w14:textId="77777777" w:rsidR="007F0C1C" w:rsidRDefault="00F5158C">
      <w:pPr>
        <w:pStyle w:val="ListParagraph"/>
        <w:numPr>
          <w:ilvl w:val="0"/>
          <w:numId w:val="1"/>
        </w:numPr>
        <w:tabs>
          <w:tab w:val="left" w:pos="661"/>
        </w:tabs>
        <w:spacing w:before="134"/>
        <w:ind w:hanging="361"/>
        <w:jc w:val="both"/>
      </w:pPr>
      <w:r>
        <w:t>Building setbacks and location match approved plot plan/site plan. (IRC</w:t>
      </w:r>
      <w:r>
        <w:rPr>
          <w:spacing w:val="-3"/>
        </w:rPr>
        <w:t xml:space="preserve"> </w:t>
      </w:r>
      <w:r>
        <w:t>R106.2)</w:t>
      </w:r>
    </w:p>
    <w:p w14:paraId="635349D1" w14:textId="77777777" w:rsidR="007F0C1C" w:rsidRDefault="00F5158C">
      <w:pPr>
        <w:pStyle w:val="ListParagraph"/>
        <w:numPr>
          <w:ilvl w:val="0"/>
          <w:numId w:val="1"/>
        </w:numPr>
        <w:tabs>
          <w:tab w:val="left" w:pos="661"/>
        </w:tabs>
        <w:spacing w:before="134" w:line="360" w:lineRule="auto"/>
        <w:ind w:left="659" w:right="257"/>
        <w:jc w:val="both"/>
      </w:pPr>
      <w:r>
        <w:t xml:space="preserve">Footing dug to width and depth acceptable by Standard Operating Procedures or copy of report for soils testing required, unless engineered drawings submitted to show otherwise. The City of Cleveland Standard Operating Procedures allow for no less than 12” </w:t>
      </w:r>
      <w:r>
        <w:t xml:space="preserve">deep supported on undisturbed natural soils or engineered fill, minimum 8” concrete depth, 18” – 24” wide with two runs #4 rebar (minimum) seated to provide 3” cover. Single Family Residential can be built on plain concrete footings if soil testing proves </w:t>
      </w:r>
      <w:r>
        <w:t>rebar is not needed.</w:t>
      </w:r>
      <w:r>
        <w:rPr>
          <w:spacing w:val="13"/>
        </w:rPr>
        <w:t xml:space="preserve"> </w:t>
      </w:r>
      <w:r>
        <w:t>(IRC R403.1) (IBC 1809.7)</w:t>
      </w:r>
    </w:p>
    <w:p w14:paraId="0D43B27E" w14:textId="77777777" w:rsidR="007F0C1C" w:rsidRDefault="00F5158C">
      <w:pPr>
        <w:pStyle w:val="ListParagraph"/>
        <w:numPr>
          <w:ilvl w:val="0"/>
          <w:numId w:val="1"/>
        </w:numPr>
        <w:tabs>
          <w:tab w:val="left" w:pos="660"/>
        </w:tabs>
        <w:spacing w:line="360" w:lineRule="auto"/>
        <w:ind w:right="257" w:hanging="361"/>
        <w:jc w:val="both"/>
      </w:pPr>
      <w:r>
        <w:t>Check footing for loose material, water, debris, mud, organic material and expansive soils. If fill material is on site, a copy of the soil report must be made available for the inspector. (IRC Table</w:t>
      </w:r>
      <w:r>
        <w:rPr>
          <w:spacing w:val="-13"/>
        </w:rPr>
        <w:t xml:space="preserve"> </w:t>
      </w:r>
      <w:r>
        <w:t>R405.1)</w:t>
      </w:r>
    </w:p>
    <w:p w14:paraId="79233DE6" w14:textId="6615B04C" w:rsidR="007F0C1C" w:rsidRDefault="00F5158C">
      <w:pPr>
        <w:pStyle w:val="ListParagraph"/>
        <w:numPr>
          <w:ilvl w:val="0"/>
          <w:numId w:val="1"/>
        </w:numPr>
        <w:tabs>
          <w:tab w:val="left" w:pos="661"/>
        </w:tabs>
        <w:spacing w:line="360" w:lineRule="auto"/>
        <w:ind w:right="259"/>
        <w:jc w:val="both"/>
      </w:pPr>
      <w:r>
        <w:t>S</w:t>
      </w:r>
      <w:r>
        <w:t>teel properly lapped, supported, correct size and free from rust, dirt or debris. Minimum size for residential is 2 runs #4 rebar, unless otherwise engineered. Laps should be 20” to 30” with two ties per lap. (IRC R404.1.3.5.4</w:t>
      </w:r>
      <w:bookmarkStart w:id="0" w:name="_GoBack"/>
      <w:bookmarkEnd w:id="0"/>
      <w:r>
        <w:t>) (R611.5.4(1).</w:t>
      </w:r>
    </w:p>
    <w:p w14:paraId="580A8E40" w14:textId="77777777" w:rsidR="007F0C1C" w:rsidRDefault="00F5158C">
      <w:pPr>
        <w:pStyle w:val="ListParagraph"/>
        <w:numPr>
          <w:ilvl w:val="0"/>
          <w:numId w:val="1"/>
        </w:numPr>
        <w:tabs>
          <w:tab w:val="left" w:pos="661"/>
        </w:tabs>
        <w:ind w:hanging="361"/>
        <w:jc w:val="both"/>
      </w:pPr>
      <w:r>
        <w:t>Rebar at all</w:t>
      </w:r>
      <w:r>
        <w:t xml:space="preserve"> corners to be field</w:t>
      </w:r>
      <w:r>
        <w:rPr>
          <w:spacing w:val="-4"/>
        </w:rPr>
        <w:t xml:space="preserve"> </w:t>
      </w:r>
      <w:r>
        <w:t>bent.</w:t>
      </w:r>
    </w:p>
    <w:p w14:paraId="28000418" w14:textId="77777777" w:rsidR="007F0C1C" w:rsidRDefault="00F5158C">
      <w:pPr>
        <w:pStyle w:val="ListParagraph"/>
        <w:numPr>
          <w:ilvl w:val="0"/>
          <w:numId w:val="1"/>
        </w:numPr>
        <w:tabs>
          <w:tab w:val="left" w:pos="661"/>
        </w:tabs>
        <w:spacing w:before="135"/>
        <w:ind w:hanging="361"/>
        <w:jc w:val="both"/>
      </w:pPr>
      <w:r>
        <w:t>Footings are level or stepped if the ground slopes more than 1 foot in 10 feet. Bulkheads are installed. (IRC</w:t>
      </w:r>
      <w:r>
        <w:rPr>
          <w:spacing w:val="-28"/>
        </w:rPr>
        <w:t xml:space="preserve"> </w:t>
      </w:r>
      <w:r>
        <w:t>R403.1.5)</w:t>
      </w:r>
    </w:p>
    <w:p w14:paraId="23A9D434" w14:textId="77777777" w:rsidR="007F0C1C" w:rsidRDefault="00F5158C">
      <w:pPr>
        <w:pStyle w:val="ListParagraph"/>
        <w:numPr>
          <w:ilvl w:val="0"/>
          <w:numId w:val="1"/>
        </w:numPr>
        <w:tabs>
          <w:tab w:val="left" w:pos="661"/>
        </w:tabs>
        <w:spacing w:before="133" w:line="360" w:lineRule="auto"/>
        <w:ind w:left="659" w:right="257"/>
        <w:jc w:val="both"/>
      </w:pPr>
      <w:r>
        <w:rPr>
          <w:noProof/>
        </w:rPr>
        <w:drawing>
          <wp:anchor distT="0" distB="0" distL="0" distR="0" simplePos="0" relativeHeight="251656704" behindDoc="1" locked="0" layoutInCell="1" allowOverlap="1" wp14:anchorId="614B6350" wp14:editId="242DD65F">
            <wp:simplePos x="0" y="0"/>
            <wp:positionH relativeFrom="page">
              <wp:posOffset>4957571</wp:posOffset>
            </wp:positionH>
            <wp:positionV relativeFrom="paragraph">
              <wp:posOffset>276129</wp:posOffset>
            </wp:positionV>
            <wp:extent cx="2454402" cy="1661922"/>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2454402" cy="1661922"/>
                    </a:xfrm>
                    <a:prstGeom prst="rect">
                      <a:avLst/>
                    </a:prstGeom>
                  </pic:spPr>
                </pic:pic>
              </a:graphicData>
            </a:graphic>
          </wp:anchor>
        </w:drawing>
      </w:r>
      <w:r>
        <w:t>Footings are designed to project beyond the face of the foundation wall at least 2 inches, but not more than the thickness of the footing. (IRC</w:t>
      </w:r>
      <w:r>
        <w:rPr>
          <w:spacing w:val="-3"/>
        </w:rPr>
        <w:t xml:space="preserve"> </w:t>
      </w:r>
      <w:r>
        <w:t>R403.1.1)</w:t>
      </w:r>
    </w:p>
    <w:p w14:paraId="453E8D4E" w14:textId="77777777" w:rsidR="007F0C1C" w:rsidRDefault="00F5158C">
      <w:pPr>
        <w:pStyle w:val="ListParagraph"/>
        <w:numPr>
          <w:ilvl w:val="0"/>
          <w:numId w:val="1"/>
        </w:numPr>
        <w:tabs>
          <w:tab w:val="left" w:pos="660"/>
        </w:tabs>
        <w:spacing w:before="1" w:line="360" w:lineRule="auto"/>
        <w:ind w:left="659" w:right="4143"/>
        <w:jc w:val="both"/>
        <w:rPr>
          <w:b/>
        </w:rPr>
      </w:pPr>
      <w:r>
        <w:t xml:space="preserve">Ground rod installed (if required). Rebar is not an acceptable material for the grounding rod, unless </w:t>
      </w:r>
      <w:r>
        <w:t>the grounding rod is entirely interior to the building</w:t>
      </w:r>
      <w:r>
        <w:rPr>
          <w:b/>
        </w:rPr>
        <w:t>.</w:t>
      </w:r>
    </w:p>
    <w:sectPr w:rsidR="007F0C1C">
      <w:type w:val="continuous"/>
      <w:pgSz w:w="12240" w:h="15840"/>
      <w:pgMar w:top="640" w:right="460" w:bottom="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57F5"/>
    <w:multiLevelType w:val="hybridMultilevel"/>
    <w:tmpl w:val="4AD8CC18"/>
    <w:lvl w:ilvl="0" w:tplc="33D03562">
      <w:start w:val="1"/>
      <w:numFmt w:val="decimal"/>
      <w:lvlText w:val="%1."/>
      <w:lvlJc w:val="left"/>
      <w:pPr>
        <w:ind w:left="660" w:hanging="360"/>
        <w:jc w:val="left"/>
      </w:pPr>
      <w:rPr>
        <w:rFonts w:ascii="Calibri" w:eastAsia="Calibri" w:hAnsi="Calibri" w:cs="Calibri" w:hint="default"/>
        <w:w w:val="99"/>
        <w:sz w:val="22"/>
        <w:szCs w:val="22"/>
      </w:rPr>
    </w:lvl>
    <w:lvl w:ilvl="1" w:tplc="76504E60">
      <w:numFmt w:val="bullet"/>
      <w:lvlText w:val="•"/>
      <w:lvlJc w:val="left"/>
      <w:pPr>
        <w:ind w:left="1748" w:hanging="360"/>
      </w:pPr>
      <w:rPr>
        <w:rFonts w:hint="default"/>
      </w:rPr>
    </w:lvl>
    <w:lvl w:ilvl="2" w:tplc="4C769AC8">
      <w:numFmt w:val="bullet"/>
      <w:lvlText w:val="•"/>
      <w:lvlJc w:val="left"/>
      <w:pPr>
        <w:ind w:left="2836" w:hanging="360"/>
      </w:pPr>
      <w:rPr>
        <w:rFonts w:hint="default"/>
      </w:rPr>
    </w:lvl>
    <w:lvl w:ilvl="3" w:tplc="8BF00D32">
      <w:numFmt w:val="bullet"/>
      <w:lvlText w:val="•"/>
      <w:lvlJc w:val="left"/>
      <w:pPr>
        <w:ind w:left="3924" w:hanging="360"/>
      </w:pPr>
      <w:rPr>
        <w:rFonts w:hint="default"/>
      </w:rPr>
    </w:lvl>
    <w:lvl w:ilvl="4" w:tplc="B0A087EA">
      <w:numFmt w:val="bullet"/>
      <w:lvlText w:val="•"/>
      <w:lvlJc w:val="left"/>
      <w:pPr>
        <w:ind w:left="5012" w:hanging="360"/>
      </w:pPr>
      <w:rPr>
        <w:rFonts w:hint="default"/>
      </w:rPr>
    </w:lvl>
    <w:lvl w:ilvl="5" w:tplc="9522B7F6">
      <w:numFmt w:val="bullet"/>
      <w:lvlText w:val="•"/>
      <w:lvlJc w:val="left"/>
      <w:pPr>
        <w:ind w:left="6100" w:hanging="360"/>
      </w:pPr>
      <w:rPr>
        <w:rFonts w:hint="default"/>
      </w:rPr>
    </w:lvl>
    <w:lvl w:ilvl="6" w:tplc="04D4BAE2">
      <w:numFmt w:val="bullet"/>
      <w:lvlText w:val="•"/>
      <w:lvlJc w:val="left"/>
      <w:pPr>
        <w:ind w:left="7188" w:hanging="360"/>
      </w:pPr>
      <w:rPr>
        <w:rFonts w:hint="default"/>
      </w:rPr>
    </w:lvl>
    <w:lvl w:ilvl="7" w:tplc="28F485E6">
      <w:numFmt w:val="bullet"/>
      <w:lvlText w:val="•"/>
      <w:lvlJc w:val="left"/>
      <w:pPr>
        <w:ind w:left="8276" w:hanging="360"/>
      </w:pPr>
      <w:rPr>
        <w:rFonts w:hint="default"/>
      </w:rPr>
    </w:lvl>
    <w:lvl w:ilvl="8" w:tplc="2B1ACABC">
      <w:numFmt w:val="bullet"/>
      <w:lvlText w:val="•"/>
      <w:lvlJc w:val="left"/>
      <w:pPr>
        <w:ind w:left="9364"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F0C1C"/>
    <w:rsid w:val="007F0C1C"/>
    <w:rsid w:val="00F51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C3A542"/>
  <w15:docId w15:val="{683E5D1E-3BC6-4740-890A-41DC30C6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60" w:hanging="361"/>
      <w:jc w:val="both"/>
    </w:pPr>
  </w:style>
  <w:style w:type="paragraph" w:styleId="ListParagraph">
    <w:name w:val="List Paragraph"/>
    <w:basedOn w:val="Normal"/>
    <w:uiPriority w:val="1"/>
    <w:qFormat/>
    <w:pPr>
      <w:ind w:left="660"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FOOTING INSPECTION CHECKLIST</dc:title>
  <dc:creator>bturner</dc:creator>
  <cp:lastModifiedBy>Bryan Turner</cp:lastModifiedBy>
  <cp:revision>2</cp:revision>
  <dcterms:created xsi:type="dcterms:W3CDTF">2020-07-31T15:33:00Z</dcterms:created>
  <dcterms:modified xsi:type="dcterms:W3CDTF">2020-07-31T15:58:00Z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2015-02-23T00:00:00Z</vt:filetime>
  </property>
  <property fmtid="{D5CDD505-2E9C-101B-9397-08002B2CF9AE}" pid="3" name="Creator">
    <vt:lpwstr>PScript5.dll Version 5.2.2</vt:lpwstr>
  </property>
  <property fmtid="{D5CDD505-2E9C-101B-9397-08002B2CF9AE}" pid="4" name="LastSaved">
    <vt:filetime>2020-07-31T00:00:00Z</vt:filetime>
  </property>
</Properties>
</file>